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4A681" w14:textId="77777777" w:rsidR="00454981" w:rsidRDefault="00454981" w:rsidP="00454981">
      <w:pPr>
        <w:rPr>
          <w:rFonts w:ascii="Arial" w:hAnsi="Arial" w:cs="Arial"/>
          <w:b/>
          <w:sz w:val="24"/>
          <w:szCs w:val="24"/>
          <w:u w:val="single"/>
        </w:rPr>
      </w:pPr>
      <w:bookmarkStart w:id="0" w:name="_GoBack"/>
      <w:bookmarkEnd w:id="0"/>
    </w:p>
    <w:p w14:paraId="2C870C89" w14:textId="53EC84B4" w:rsidR="00164587" w:rsidRDefault="00454981" w:rsidP="00454981">
      <w:pPr>
        <w:jc w:val="center"/>
        <w:rPr>
          <w:rFonts w:ascii="Arial" w:hAnsi="Arial" w:cs="Arial"/>
          <w:b/>
          <w:sz w:val="24"/>
          <w:szCs w:val="24"/>
          <w:u w:val="single"/>
        </w:rPr>
      </w:pPr>
      <w:r>
        <w:rPr>
          <w:rFonts w:ascii="Arial" w:hAnsi="Arial" w:cs="Arial"/>
          <w:b/>
          <w:sz w:val="24"/>
          <w:szCs w:val="24"/>
          <w:u w:val="single"/>
        </w:rPr>
        <w:t>GUIDANCE – OPHTHALMIC SERVCIES – April 2020</w:t>
      </w:r>
    </w:p>
    <w:p w14:paraId="7F7EFFF3" w14:textId="77777777" w:rsidR="00454981" w:rsidRPr="004B60B0" w:rsidRDefault="00454981" w:rsidP="00454981">
      <w:pPr>
        <w:rPr>
          <w:rFonts w:ascii="Arial" w:hAnsi="Arial" w:cs="Arial"/>
          <w:b/>
          <w:sz w:val="24"/>
          <w:szCs w:val="24"/>
          <w:u w:val="single"/>
        </w:rPr>
      </w:pPr>
    </w:p>
    <w:p w14:paraId="58FFAD29" w14:textId="43E785BC" w:rsidR="00D93D4F" w:rsidRPr="00D04738" w:rsidRDefault="00D93D4F" w:rsidP="00D93D4F">
      <w:pPr>
        <w:rPr>
          <w:rFonts w:ascii="Arial" w:hAnsi="Arial" w:cs="Arial"/>
          <w:sz w:val="24"/>
          <w:szCs w:val="24"/>
        </w:rPr>
      </w:pPr>
      <w:r>
        <w:rPr>
          <w:rFonts w:ascii="Arial" w:hAnsi="Arial" w:cs="Arial"/>
          <w:sz w:val="24"/>
          <w:szCs w:val="24"/>
        </w:rPr>
        <w:t>Please find att</w:t>
      </w:r>
      <w:r w:rsidR="00454981">
        <w:rPr>
          <w:rFonts w:ascii="Arial" w:hAnsi="Arial" w:cs="Arial"/>
          <w:sz w:val="24"/>
          <w:szCs w:val="24"/>
        </w:rPr>
        <w:t xml:space="preserve">ached communication for </w:t>
      </w:r>
      <w:r>
        <w:rPr>
          <w:rFonts w:ascii="Arial" w:hAnsi="Arial" w:cs="Arial"/>
          <w:sz w:val="24"/>
          <w:szCs w:val="24"/>
        </w:rPr>
        <w:t xml:space="preserve">all optometrists with additional advice regarding </w:t>
      </w:r>
      <w:r w:rsidR="00711BA8">
        <w:rPr>
          <w:rFonts w:ascii="Arial" w:hAnsi="Arial" w:cs="Arial"/>
          <w:sz w:val="24"/>
          <w:szCs w:val="24"/>
        </w:rPr>
        <w:t>eye care</w:t>
      </w:r>
      <w:r>
        <w:rPr>
          <w:rFonts w:ascii="Arial" w:hAnsi="Arial" w:cs="Arial"/>
          <w:sz w:val="24"/>
          <w:szCs w:val="24"/>
        </w:rPr>
        <w:t xml:space="preserve"> provision following further social distancing measures announced by UK and Welsh Governments </w:t>
      </w:r>
      <w:r w:rsidR="00164587">
        <w:rPr>
          <w:rFonts w:ascii="Arial" w:hAnsi="Arial" w:cs="Arial"/>
          <w:sz w:val="24"/>
          <w:szCs w:val="24"/>
        </w:rPr>
        <w:t>on 23 March</w:t>
      </w:r>
      <w:r>
        <w:rPr>
          <w:rFonts w:ascii="Arial" w:hAnsi="Arial" w:cs="Arial"/>
          <w:sz w:val="24"/>
          <w:szCs w:val="24"/>
        </w:rPr>
        <w:t>.</w:t>
      </w:r>
    </w:p>
    <w:p w14:paraId="63A2D58F" w14:textId="6A7E645F" w:rsidR="00D93D4F" w:rsidRDefault="00D93D4F" w:rsidP="00D93D4F">
      <w:pPr>
        <w:rPr>
          <w:rFonts w:ascii="Arial" w:hAnsi="Arial" w:cs="Arial"/>
          <w:sz w:val="24"/>
          <w:szCs w:val="24"/>
        </w:rPr>
      </w:pPr>
      <w:r w:rsidRPr="000222E8">
        <w:rPr>
          <w:rFonts w:ascii="Arial" w:hAnsi="Arial" w:cs="Arial"/>
          <w:sz w:val="24"/>
          <w:szCs w:val="24"/>
        </w:rPr>
        <w:t xml:space="preserve">NHS </w:t>
      </w:r>
      <w:r>
        <w:rPr>
          <w:rFonts w:ascii="Arial" w:hAnsi="Arial" w:cs="Arial"/>
          <w:sz w:val="24"/>
          <w:szCs w:val="24"/>
        </w:rPr>
        <w:t>Wales</w:t>
      </w:r>
      <w:r w:rsidRPr="000222E8">
        <w:rPr>
          <w:rFonts w:ascii="Arial" w:hAnsi="Arial" w:cs="Arial"/>
          <w:sz w:val="24"/>
          <w:szCs w:val="24"/>
        </w:rPr>
        <w:t xml:space="preserve"> are asked to take cognisance of the speed with which change is occurring in relation to </w:t>
      </w:r>
      <w:r w:rsidR="00164587">
        <w:rPr>
          <w:rFonts w:ascii="Arial" w:hAnsi="Arial" w:cs="Arial"/>
          <w:sz w:val="24"/>
          <w:szCs w:val="24"/>
        </w:rPr>
        <w:t>Covid-19</w:t>
      </w:r>
      <w:r w:rsidRPr="000222E8">
        <w:rPr>
          <w:rFonts w:ascii="Arial" w:hAnsi="Arial" w:cs="Arial"/>
          <w:sz w:val="24"/>
          <w:szCs w:val="24"/>
        </w:rPr>
        <w:t xml:space="preserve">. </w:t>
      </w:r>
      <w:r>
        <w:rPr>
          <w:rFonts w:ascii="Arial" w:hAnsi="Arial" w:cs="Arial"/>
          <w:sz w:val="24"/>
          <w:szCs w:val="24"/>
        </w:rPr>
        <w:t>Health b</w:t>
      </w:r>
      <w:r w:rsidRPr="000222E8">
        <w:rPr>
          <w:rFonts w:ascii="Arial" w:hAnsi="Arial" w:cs="Arial"/>
          <w:sz w:val="24"/>
          <w:szCs w:val="24"/>
        </w:rPr>
        <w:t>oards</w:t>
      </w:r>
      <w:r>
        <w:rPr>
          <w:rFonts w:ascii="Arial" w:hAnsi="Arial" w:cs="Arial"/>
          <w:sz w:val="24"/>
          <w:szCs w:val="24"/>
        </w:rPr>
        <w:t xml:space="preserve">, </w:t>
      </w:r>
      <w:r w:rsidR="00164587">
        <w:rPr>
          <w:rFonts w:ascii="Arial" w:hAnsi="Arial" w:cs="Arial"/>
          <w:sz w:val="24"/>
          <w:szCs w:val="24"/>
        </w:rPr>
        <w:t>O</w:t>
      </w:r>
      <w:r>
        <w:rPr>
          <w:rFonts w:ascii="Arial" w:hAnsi="Arial" w:cs="Arial"/>
          <w:sz w:val="24"/>
          <w:szCs w:val="24"/>
        </w:rPr>
        <w:t xml:space="preserve">ptometric </w:t>
      </w:r>
      <w:r w:rsidR="00164587">
        <w:rPr>
          <w:rFonts w:ascii="Arial" w:hAnsi="Arial" w:cs="Arial"/>
          <w:sz w:val="24"/>
          <w:szCs w:val="24"/>
        </w:rPr>
        <w:t>A</w:t>
      </w:r>
      <w:r>
        <w:rPr>
          <w:rFonts w:ascii="Arial" w:hAnsi="Arial" w:cs="Arial"/>
          <w:sz w:val="24"/>
          <w:szCs w:val="24"/>
        </w:rPr>
        <w:t xml:space="preserve">dvisers, Optometry Wales and the Regional Optometric Committees, </w:t>
      </w:r>
      <w:r w:rsidRPr="000222E8">
        <w:rPr>
          <w:rFonts w:ascii="Arial" w:hAnsi="Arial" w:cs="Arial"/>
          <w:sz w:val="24"/>
          <w:szCs w:val="24"/>
        </w:rPr>
        <w:t xml:space="preserve">are therefore asked to </w:t>
      </w:r>
      <w:r w:rsidR="00711BA8">
        <w:rPr>
          <w:rFonts w:ascii="Arial" w:hAnsi="Arial" w:cs="Arial"/>
          <w:sz w:val="24"/>
          <w:szCs w:val="24"/>
        </w:rPr>
        <w:t>develop</w:t>
      </w:r>
      <w:r w:rsidR="00F15E5B">
        <w:rPr>
          <w:rFonts w:ascii="Arial" w:hAnsi="Arial" w:cs="Arial"/>
          <w:sz w:val="24"/>
          <w:szCs w:val="24"/>
        </w:rPr>
        <w:t xml:space="preserve"> </w:t>
      </w:r>
      <w:r w:rsidRPr="000222E8">
        <w:rPr>
          <w:rFonts w:ascii="Arial" w:hAnsi="Arial" w:cs="Arial"/>
          <w:sz w:val="24"/>
          <w:szCs w:val="24"/>
        </w:rPr>
        <w:t xml:space="preserve">community optometry practice ‘clusters’, </w:t>
      </w:r>
      <w:r>
        <w:rPr>
          <w:rFonts w:ascii="Arial" w:hAnsi="Arial" w:cs="Arial"/>
          <w:sz w:val="24"/>
          <w:szCs w:val="24"/>
        </w:rPr>
        <w:t xml:space="preserve">to </w:t>
      </w:r>
      <w:r w:rsidRPr="000222E8">
        <w:rPr>
          <w:rFonts w:ascii="Arial" w:hAnsi="Arial" w:cs="Arial"/>
          <w:sz w:val="24"/>
          <w:szCs w:val="24"/>
        </w:rPr>
        <w:t>reduce the number of practices required to remain open</w:t>
      </w:r>
      <w:r>
        <w:rPr>
          <w:rFonts w:ascii="Arial" w:hAnsi="Arial" w:cs="Arial"/>
          <w:sz w:val="24"/>
          <w:szCs w:val="24"/>
        </w:rPr>
        <w:t>,</w:t>
      </w:r>
      <w:r w:rsidRPr="000222E8">
        <w:rPr>
          <w:rFonts w:ascii="Arial" w:hAnsi="Arial" w:cs="Arial"/>
          <w:sz w:val="24"/>
          <w:szCs w:val="24"/>
        </w:rPr>
        <w:t xml:space="preserve"> whilst still providing sufficient </w:t>
      </w:r>
      <w:r w:rsidR="00F15E5B">
        <w:rPr>
          <w:rFonts w:ascii="Arial" w:hAnsi="Arial" w:cs="Arial"/>
          <w:sz w:val="24"/>
          <w:szCs w:val="24"/>
        </w:rPr>
        <w:t xml:space="preserve">health board </w:t>
      </w:r>
      <w:r w:rsidRPr="000222E8">
        <w:rPr>
          <w:rFonts w:ascii="Arial" w:hAnsi="Arial" w:cs="Arial"/>
          <w:sz w:val="24"/>
          <w:szCs w:val="24"/>
        </w:rPr>
        <w:t>geographical cover of services.</w:t>
      </w:r>
      <w:r>
        <w:rPr>
          <w:rFonts w:ascii="Arial" w:hAnsi="Arial" w:cs="Arial"/>
          <w:sz w:val="24"/>
          <w:szCs w:val="24"/>
        </w:rPr>
        <w:t xml:space="preserve"> </w:t>
      </w:r>
    </w:p>
    <w:p w14:paraId="0B526DFE" w14:textId="1DBE1802" w:rsidR="00164587" w:rsidRDefault="00D93D4F" w:rsidP="00164587">
      <w:pPr>
        <w:rPr>
          <w:rFonts w:ascii="Arial" w:hAnsi="Arial" w:cs="Arial"/>
          <w:sz w:val="24"/>
          <w:szCs w:val="24"/>
        </w:rPr>
      </w:pPr>
      <w:r>
        <w:rPr>
          <w:rFonts w:ascii="Arial" w:hAnsi="Arial" w:cs="Arial"/>
          <w:sz w:val="24"/>
          <w:szCs w:val="24"/>
        </w:rPr>
        <w:t>At least one practice and up to three practices per ‘cluster’ would provide good coverage, however, additional services, as detailed below, may require more practices to be available to support local needs, and we encourage you to be flexible in your approach</w:t>
      </w:r>
      <w:r w:rsidR="00FE5B61">
        <w:rPr>
          <w:rFonts w:ascii="Arial" w:hAnsi="Arial" w:cs="Arial"/>
          <w:sz w:val="24"/>
          <w:szCs w:val="24"/>
        </w:rPr>
        <w:t xml:space="preserve">. </w:t>
      </w:r>
    </w:p>
    <w:p w14:paraId="6D3FBCA7" w14:textId="31B0E436" w:rsidR="00D93D4F" w:rsidRDefault="00164587" w:rsidP="00D93D4F">
      <w:pPr>
        <w:rPr>
          <w:rFonts w:ascii="Arial" w:hAnsi="Arial" w:cs="Arial"/>
          <w:sz w:val="24"/>
          <w:szCs w:val="24"/>
        </w:rPr>
      </w:pPr>
      <w:r>
        <w:rPr>
          <w:rFonts w:ascii="Arial" w:hAnsi="Arial" w:cs="Arial"/>
          <w:sz w:val="24"/>
          <w:szCs w:val="24"/>
        </w:rPr>
        <w:t>A</w:t>
      </w:r>
      <w:r w:rsidR="00D93D4F">
        <w:rPr>
          <w:rFonts w:ascii="Arial" w:hAnsi="Arial" w:cs="Arial"/>
          <w:sz w:val="24"/>
          <w:szCs w:val="24"/>
        </w:rPr>
        <w:t>ll health boards</w:t>
      </w:r>
      <w:r>
        <w:rPr>
          <w:rFonts w:ascii="Arial" w:hAnsi="Arial" w:cs="Arial"/>
          <w:sz w:val="24"/>
          <w:szCs w:val="24"/>
        </w:rPr>
        <w:t>,</w:t>
      </w:r>
      <w:r w:rsidR="00D93D4F">
        <w:rPr>
          <w:rFonts w:ascii="Arial" w:hAnsi="Arial" w:cs="Arial"/>
          <w:sz w:val="24"/>
          <w:szCs w:val="24"/>
        </w:rPr>
        <w:t xml:space="preserve"> work</w:t>
      </w:r>
      <w:r>
        <w:rPr>
          <w:rFonts w:ascii="Arial" w:hAnsi="Arial" w:cs="Arial"/>
          <w:sz w:val="24"/>
          <w:szCs w:val="24"/>
        </w:rPr>
        <w:t>ing</w:t>
      </w:r>
      <w:r w:rsidR="00D93D4F">
        <w:rPr>
          <w:rFonts w:ascii="Arial" w:hAnsi="Arial" w:cs="Arial"/>
          <w:sz w:val="24"/>
          <w:szCs w:val="24"/>
        </w:rPr>
        <w:t xml:space="preserve"> with their </w:t>
      </w:r>
      <w:r>
        <w:rPr>
          <w:rFonts w:ascii="Arial" w:hAnsi="Arial" w:cs="Arial"/>
          <w:sz w:val="24"/>
          <w:szCs w:val="24"/>
        </w:rPr>
        <w:t>E</w:t>
      </w:r>
      <w:r w:rsidR="00D93D4F">
        <w:rPr>
          <w:rFonts w:ascii="Arial" w:hAnsi="Arial" w:cs="Arial"/>
          <w:sz w:val="24"/>
          <w:szCs w:val="24"/>
        </w:rPr>
        <w:t xml:space="preserve">ye </w:t>
      </w:r>
      <w:r>
        <w:rPr>
          <w:rFonts w:ascii="Arial" w:hAnsi="Arial" w:cs="Arial"/>
          <w:sz w:val="24"/>
          <w:szCs w:val="24"/>
        </w:rPr>
        <w:t>C</w:t>
      </w:r>
      <w:r w:rsidR="00D93D4F">
        <w:rPr>
          <w:rFonts w:ascii="Arial" w:hAnsi="Arial" w:cs="Arial"/>
          <w:sz w:val="24"/>
          <w:szCs w:val="24"/>
        </w:rPr>
        <w:t xml:space="preserve">are </w:t>
      </w:r>
      <w:r>
        <w:rPr>
          <w:rFonts w:ascii="Arial" w:hAnsi="Arial" w:cs="Arial"/>
          <w:sz w:val="24"/>
          <w:szCs w:val="24"/>
        </w:rPr>
        <w:t>C</w:t>
      </w:r>
      <w:r w:rsidR="00D93D4F">
        <w:rPr>
          <w:rFonts w:ascii="Arial" w:hAnsi="Arial" w:cs="Arial"/>
          <w:sz w:val="24"/>
          <w:szCs w:val="24"/>
        </w:rPr>
        <w:t xml:space="preserve">ollaborative </w:t>
      </w:r>
      <w:r>
        <w:rPr>
          <w:rFonts w:ascii="Arial" w:hAnsi="Arial" w:cs="Arial"/>
          <w:sz w:val="24"/>
          <w:szCs w:val="24"/>
        </w:rPr>
        <w:t>G</w:t>
      </w:r>
      <w:r w:rsidR="00D93D4F">
        <w:rPr>
          <w:rFonts w:ascii="Arial" w:hAnsi="Arial" w:cs="Arial"/>
          <w:sz w:val="24"/>
          <w:szCs w:val="24"/>
        </w:rPr>
        <w:t xml:space="preserve">roup, </w:t>
      </w:r>
      <w:r>
        <w:rPr>
          <w:rFonts w:ascii="Arial" w:hAnsi="Arial" w:cs="Arial"/>
          <w:sz w:val="24"/>
          <w:szCs w:val="24"/>
        </w:rPr>
        <w:t>O</w:t>
      </w:r>
      <w:r w:rsidR="00D93D4F">
        <w:rPr>
          <w:rFonts w:ascii="Arial" w:hAnsi="Arial" w:cs="Arial"/>
          <w:sz w:val="24"/>
          <w:szCs w:val="24"/>
        </w:rPr>
        <w:t xml:space="preserve">ptometric </w:t>
      </w:r>
      <w:r>
        <w:rPr>
          <w:rFonts w:ascii="Arial" w:hAnsi="Arial" w:cs="Arial"/>
          <w:sz w:val="24"/>
          <w:szCs w:val="24"/>
        </w:rPr>
        <w:t>A</w:t>
      </w:r>
      <w:r w:rsidR="00D93D4F">
        <w:rPr>
          <w:rFonts w:ascii="Arial" w:hAnsi="Arial" w:cs="Arial"/>
          <w:sz w:val="24"/>
          <w:szCs w:val="24"/>
        </w:rPr>
        <w:t xml:space="preserve">dviser, Optometry Wales and Regional Optometric Committees </w:t>
      </w:r>
      <w:r>
        <w:rPr>
          <w:rFonts w:ascii="Arial" w:hAnsi="Arial" w:cs="Arial"/>
          <w:sz w:val="24"/>
          <w:szCs w:val="24"/>
        </w:rPr>
        <w:t xml:space="preserve">are </w:t>
      </w:r>
      <w:r w:rsidR="00D93D4F">
        <w:rPr>
          <w:rFonts w:ascii="Arial" w:hAnsi="Arial" w:cs="Arial"/>
          <w:sz w:val="24"/>
          <w:szCs w:val="24"/>
        </w:rPr>
        <w:t xml:space="preserve">to plan and deliver the local services required. </w:t>
      </w:r>
    </w:p>
    <w:p w14:paraId="325AAD8F" w14:textId="77777777" w:rsidR="00D93D4F" w:rsidRPr="00D93D4F" w:rsidRDefault="00D93D4F" w:rsidP="00D93D4F">
      <w:pPr>
        <w:rPr>
          <w:rFonts w:ascii="Arial" w:hAnsi="Arial" w:cs="Arial"/>
          <w:i/>
          <w:sz w:val="24"/>
          <w:szCs w:val="24"/>
          <w:u w:val="single"/>
        </w:rPr>
      </w:pPr>
      <w:r w:rsidRPr="00D93D4F">
        <w:rPr>
          <w:rFonts w:ascii="Arial" w:hAnsi="Arial" w:cs="Arial"/>
          <w:i/>
          <w:sz w:val="24"/>
          <w:szCs w:val="24"/>
          <w:u w:val="single"/>
        </w:rPr>
        <w:t>Primary Care</w:t>
      </w:r>
    </w:p>
    <w:p w14:paraId="179B7F05" w14:textId="68330D64" w:rsidR="00D93D4F" w:rsidRPr="009D299F" w:rsidRDefault="00D93D4F" w:rsidP="00D93D4F">
      <w:pPr>
        <w:rPr>
          <w:rFonts w:ascii="Arial" w:hAnsi="Arial" w:cs="Arial"/>
          <w:sz w:val="24"/>
          <w:szCs w:val="24"/>
        </w:rPr>
      </w:pPr>
      <w:r>
        <w:rPr>
          <w:rFonts w:ascii="Arial" w:hAnsi="Arial" w:cs="Arial"/>
          <w:sz w:val="24"/>
          <w:szCs w:val="24"/>
        </w:rPr>
        <w:t>Immediate Planning</w:t>
      </w:r>
    </w:p>
    <w:p w14:paraId="0449D4B4" w14:textId="77777777" w:rsidR="00FE5B61" w:rsidRDefault="00D93D4F" w:rsidP="00FE5B61">
      <w:pPr>
        <w:pStyle w:val="ListParagraph"/>
        <w:numPr>
          <w:ilvl w:val="0"/>
          <w:numId w:val="1"/>
        </w:numPr>
        <w:rPr>
          <w:rFonts w:ascii="Arial" w:hAnsi="Arial" w:cs="Arial"/>
          <w:sz w:val="24"/>
          <w:szCs w:val="24"/>
        </w:rPr>
      </w:pPr>
      <w:r>
        <w:rPr>
          <w:rFonts w:ascii="Arial" w:hAnsi="Arial" w:cs="Arial"/>
          <w:sz w:val="24"/>
          <w:szCs w:val="24"/>
        </w:rPr>
        <w:t>Develop cluster based urgent and essential eye care in primary care optometr</w:t>
      </w:r>
      <w:r w:rsidR="004B60B0">
        <w:rPr>
          <w:rFonts w:ascii="Arial" w:hAnsi="Arial" w:cs="Arial"/>
          <w:sz w:val="24"/>
          <w:szCs w:val="24"/>
        </w:rPr>
        <w:t>y</w:t>
      </w:r>
      <w:r>
        <w:rPr>
          <w:rFonts w:ascii="Arial" w:hAnsi="Arial" w:cs="Arial"/>
          <w:sz w:val="24"/>
          <w:szCs w:val="24"/>
        </w:rPr>
        <w:t xml:space="preserve"> practices as described above and in the attached letter.</w:t>
      </w:r>
    </w:p>
    <w:p w14:paraId="67512E9F" w14:textId="48D2ADB2" w:rsidR="004B60B0" w:rsidRPr="00FE5B61" w:rsidRDefault="00D93D4F" w:rsidP="00FE5B61">
      <w:pPr>
        <w:pStyle w:val="ListParagraph"/>
        <w:numPr>
          <w:ilvl w:val="0"/>
          <w:numId w:val="1"/>
        </w:numPr>
        <w:rPr>
          <w:rFonts w:ascii="Arial" w:hAnsi="Arial" w:cs="Arial"/>
          <w:sz w:val="24"/>
          <w:szCs w:val="24"/>
        </w:rPr>
      </w:pPr>
      <w:r w:rsidRPr="00FE5B61">
        <w:rPr>
          <w:rFonts w:ascii="Arial" w:hAnsi="Arial" w:cs="Arial"/>
          <w:sz w:val="24"/>
          <w:szCs w:val="24"/>
        </w:rPr>
        <w:t xml:space="preserve">Health boards </w:t>
      </w:r>
      <w:r w:rsidR="00F15E5B" w:rsidRPr="00FE5B61">
        <w:rPr>
          <w:rFonts w:ascii="Arial" w:hAnsi="Arial" w:cs="Arial"/>
          <w:sz w:val="24"/>
          <w:szCs w:val="24"/>
        </w:rPr>
        <w:t xml:space="preserve">to </w:t>
      </w:r>
      <w:r w:rsidRPr="00FE5B61">
        <w:rPr>
          <w:rFonts w:ascii="Arial" w:hAnsi="Arial" w:cs="Arial"/>
          <w:sz w:val="24"/>
          <w:szCs w:val="24"/>
        </w:rPr>
        <w:t>make full use of all the resources in primary care and wherever possible seek to utilise the premises and equipment available from both independent and national practices.</w:t>
      </w:r>
      <w:r w:rsidR="00FE5B61" w:rsidRPr="00FE5B61">
        <w:rPr>
          <w:rFonts w:ascii="Arial" w:hAnsi="Arial" w:cs="Arial"/>
          <w:sz w:val="24"/>
          <w:szCs w:val="24"/>
        </w:rPr>
        <w:t xml:space="preserve"> Independent Prescribing qualified practitioners will be able to manage more cases and reduce the need for secondary care intervention.</w:t>
      </w:r>
    </w:p>
    <w:p w14:paraId="5318E5EC" w14:textId="2B3A4F0C" w:rsidR="00D93D4F" w:rsidRDefault="00D93D4F" w:rsidP="004B60B0">
      <w:pPr>
        <w:pStyle w:val="ListParagraph"/>
        <w:numPr>
          <w:ilvl w:val="0"/>
          <w:numId w:val="1"/>
        </w:numPr>
        <w:rPr>
          <w:rFonts w:ascii="Arial" w:hAnsi="Arial" w:cs="Arial"/>
          <w:sz w:val="24"/>
          <w:szCs w:val="24"/>
        </w:rPr>
      </w:pPr>
      <w:r w:rsidRPr="00F1317F">
        <w:rPr>
          <w:rFonts w:ascii="Arial" w:hAnsi="Arial" w:cs="Arial"/>
          <w:sz w:val="24"/>
          <w:szCs w:val="24"/>
        </w:rPr>
        <w:t xml:space="preserve">Health boards </w:t>
      </w:r>
      <w:r w:rsidR="00F1317F" w:rsidRPr="00F1317F">
        <w:rPr>
          <w:rFonts w:ascii="Arial" w:hAnsi="Arial" w:cs="Arial"/>
          <w:sz w:val="24"/>
          <w:szCs w:val="24"/>
        </w:rPr>
        <w:t xml:space="preserve">to put arrangements in place for eye care in line with </w:t>
      </w:r>
      <w:r w:rsidRPr="00F1317F">
        <w:rPr>
          <w:rFonts w:ascii="Arial" w:hAnsi="Arial" w:cs="Arial"/>
          <w:sz w:val="24"/>
          <w:szCs w:val="24"/>
        </w:rPr>
        <w:t>the emergency centres established for the provision of urgent dental care for patients symptomatic of Covid-19</w:t>
      </w:r>
      <w:r w:rsidR="00F1317F">
        <w:rPr>
          <w:rFonts w:ascii="Arial" w:hAnsi="Arial" w:cs="Arial"/>
          <w:sz w:val="24"/>
          <w:szCs w:val="24"/>
        </w:rPr>
        <w:t>; aligning</w:t>
      </w:r>
      <w:r w:rsidRPr="00F1317F">
        <w:rPr>
          <w:rFonts w:ascii="Arial" w:hAnsi="Arial" w:cs="Arial"/>
          <w:sz w:val="24"/>
          <w:szCs w:val="24"/>
        </w:rPr>
        <w:t xml:space="preserve"> eye care services </w:t>
      </w:r>
      <w:r w:rsidR="00F1317F">
        <w:rPr>
          <w:rFonts w:ascii="Arial" w:hAnsi="Arial" w:cs="Arial"/>
          <w:sz w:val="24"/>
          <w:szCs w:val="24"/>
        </w:rPr>
        <w:t>to</w:t>
      </w:r>
      <w:r w:rsidRPr="00F1317F">
        <w:rPr>
          <w:rFonts w:ascii="Arial" w:hAnsi="Arial" w:cs="Arial"/>
          <w:sz w:val="24"/>
          <w:szCs w:val="24"/>
        </w:rPr>
        <w:t xml:space="preserve"> the dental arrangements in dedicated health board centres. Arrangements to be made locally to staff </w:t>
      </w:r>
      <w:r w:rsidR="00F1317F">
        <w:rPr>
          <w:rFonts w:ascii="Arial" w:hAnsi="Arial" w:cs="Arial"/>
          <w:sz w:val="24"/>
          <w:szCs w:val="24"/>
        </w:rPr>
        <w:t xml:space="preserve">the emergency </w:t>
      </w:r>
      <w:r w:rsidRPr="00F1317F">
        <w:rPr>
          <w:rFonts w:ascii="Arial" w:hAnsi="Arial" w:cs="Arial"/>
          <w:sz w:val="24"/>
          <w:szCs w:val="24"/>
        </w:rPr>
        <w:t xml:space="preserve">centres for both professional and non-professional staff. Local optometric practices </w:t>
      </w:r>
      <w:r w:rsidR="00F1317F">
        <w:rPr>
          <w:rFonts w:ascii="Arial" w:hAnsi="Arial" w:cs="Arial"/>
          <w:sz w:val="24"/>
          <w:szCs w:val="24"/>
        </w:rPr>
        <w:t>to forward a list of all staff</w:t>
      </w:r>
      <w:r w:rsidRPr="00F1317F">
        <w:rPr>
          <w:rFonts w:ascii="Arial" w:hAnsi="Arial" w:cs="Arial"/>
          <w:sz w:val="24"/>
          <w:szCs w:val="24"/>
        </w:rPr>
        <w:t xml:space="preserve"> to NWSSP and </w:t>
      </w:r>
      <w:r w:rsidR="00F1317F">
        <w:rPr>
          <w:rFonts w:ascii="Arial" w:hAnsi="Arial" w:cs="Arial"/>
          <w:sz w:val="24"/>
          <w:szCs w:val="24"/>
        </w:rPr>
        <w:t xml:space="preserve">their </w:t>
      </w:r>
      <w:r w:rsidRPr="00F1317F">
        <w:rPr>
          <w:rFonts w:ascii="Arial" w:hAnsi="Arial" w:cs="Arial"/>
          <w:sz w:val="24"/>
          <w:szCs w:val="24"/>
        </w:rPr>
        <w:t xml:space="preserve">local </w:t>
      </w:r>
      <w:r w:rsidR="00F1317F">
        <w:rPr>
          <w:rFonts w:ascii="Arial" w:hAnsi="Arial" w:cs="Arial"/>
          <w:sz w:val="24"/>
          <w:szCs w:val="24"/>
        </w:rPr>
        <w:t>O</w:t>
      </w:r>
      <w:r w:rsidRPr="00F1317F">
        <w:rPr>
          <w:rFonts w:ascii="Arial" w:hAnsi="Arial" w:cs="Arial"/>
          <w:sz w:val="24"/>
          <w:szCs w:val="24"/>
        </w:rPr>
        <w:t xml:space="preserve">ptometric </w:t>
      </w:r>
      <w:r w:rsidR="00F1317F">
        <w:rPr>
          <w:rFonts w:ascii="Arial" w:hAnsi="Arial" w:cs="Arial"/>
          <w:sz w:val="24"/>
          <w:szCs w:val="24"/>
        </w:rPr>
        <w:t>A</w:t>
      </w:r>
      <w:r w:rsidRPr="00F1317F">
        <w:rPr>
          <w:rFonts w:ascii="Arial" w:hAnsi="Arial" w:cs="Arial"/>
          <w:sz w:val="24"/>
          <w:szCs w:val="24"/>
        </w:rPr>
        <w:t xml:space="preserve">dviser available to be redeployed; Optometry Wales </w:t>
      </w:r>
      <w:r w:rsidR="00F1317F">
        <w:rPr>
          <w:rFonts w:ascii="Arial" w:hAnsi="Arial" w:cs="Arial"/>
          <w:sz w:val="24"/>
          <w:szCs w:val="24"/>
        </w:rPr>
        <w:t xml:space="preserve">also forward the availability of locum optometrists </w:t>
      </w:r>
      <w:r w:rsidRPr="00F1317F">
        <w:rPr>
          <w:rFonts w:ascii="Arial" w:hAnsi="Arial" w:cs="Arial"/>
          <w:sz w:val="24"/>
          <w:szCs w:val="24"/>
        </w:rPr>
        <w:t>for this purpose.</w:t>
      </w:r>
    </w:p>
    <w:p w14:paraId="76F7445E" w14:textId="74CBD5CB" w:rsidR="00454981" w:rsidRDefault="00454981" w:rsidP="00454981">
      <w:pPr>
        <w:pStyle w:val="ListParagraph"/>
        <w:rPr>
          <w:rFonts w:ascii="Arial" w:hAnsi="Arial" w:cs="Arial"/>
          <w:sz w:val="24"/>
          <w:szCs w:val="24"/>
        </w:rPr>
      </w:pPr>
    </w:p>
    <w:p w14:paraId="4AD5B99E" w14:textId="77777777" w:rsidR="00454981" w:rsidRPr="00F1317F" w:rsidRDefault="00454981" w:rsidP="00454981">
      <w:pPr>
        <w:pStyle w:val="ListParagraph"/>
        <w:rPr>
          <w:rFonts w:ascii="Arial" w:hAnsi="Arial" w:cs="Arial"/>
          <w:sz w:val="24"/>
          <w:szCs w:val="24"/>
        </w:rPr>
      </w:pPr>
    </w:p>
    <w:p w14:paraId="5DE66C28" w14:textId="1F0F7BDA" w:rsidR="00454981" w:rsidRDefault="00454981" w:rsidP="00454981">
      <w:pPr>
        <w:pStyle w:val="ListParagraph"/>
        <w:rPr>
          <w:rFonts w:ascii="Arial" w:hAnsi="Arial" w:cs="Arial"/>
          <w:sz w:val="24"/>
          <w:szCs w:val="24"/>
        </w:rPr>
      </w:pPr>
    </w:p>
    <w:p w14:paraId="300F1B76" w14:textId="77777777" w:rsidR="00454981" w:rsidRDefault="00454981" w:rsidP="00454981">
      <w:pPr>
        <w:pStyle w:val="ListParagraph"/>
        <w:rPr>
          <w:rFonts w:ascii="Arial" w:hAnsi="Arial" w:cs="Arial"/>
          <w:sz w:val="24"/>
          <w:szCs w:val="24"/>
        </w:rPr>
      </w:pPr>
    </w:p>
    <w:p w14:paraId="38054934" w14:textId="07BC4D19" w:rsidR="00FE5B61" w:rsidRDefault="00F1317F" w:rsidP="00FE5B61">
      <w:pPr>
        <w:pStyle w:val="ListParagraph"/>
        <w:numPr>
          <w:ilvl w:val="0"/>
          <w:numId w:val="1"/>
        </w:numPr>
        <w:rPr>
          <w:rFonts w:ascii="Arial" w:hAnsi="Arial" w:cs="Arial"/>
          <w:sz w:val="24"/>
          <w:szCs w:val="24"/>
        </w:rPr>
      </w:pPr>
      <w:r>
        <w:rPr>
          <w:rFonts w:ascii="Arial" w:hAnsi="Arial" w:cs="Arial"/>
          <w:sz w:val="24"/>
          <w:szCs w:val="24"/>
        </w:rPr>
        <w:t>Health boards and Optometric Advisors are asked to regularly communicate</w:t>
      </w:r>
      <w:r w:rsidR="0054592B">
        <w:rPr>
          <w:rFonts w:ascii="Arial" w:hAnsi="Arial" w:cs="Arial"/>
          <w:sz w:val="24"/>
          <w:szCs w:val="24"/>
        </w:rPr>
        <w:t xml:space="preserve"> updates with</w:t>
      </w:r>
      <w:r w:rsidR="00D93D4F" w:rsidRPr="00B1182F">
        <w:rPr>
          <w:rFonts w:ascii="Arial" w:hAnsi="Arial" w:cs="Arial"/>
          <w:sz w:val="24"/>
          <w:szCs w:val="24"/>
        </w:rPr>
        <w:t xml:space="preserve"> those </w:t>
      </w:r>
      <w:r w:rsidR="0054592B">
        <w:rPr>
          <w:rFonts w:ascii="Arial" w:hAnsi="Arial" w:cs="Arial"/>
          <w:sz w:val="24"/>
          <w:szCs w:val="24"/>
        </w:rPr>
        <w:t xml:space="preserve">working in emergency centres </w:t>
      </w:r>
      <w:r w:rsidR="00D93D4F" w:rsidRPr="00B1182F">
        <w:rPr>
          <w:rFonts w:ascii="Arial" w:hAnsi="Arial" w:cs="Arial"/>
          <w:sz w:val="24"/>
          <w:szCs w:val="24"/>
        </w:rPr>
        <w:t>about what is being treated</w:t>
      </w:r>
      <w:r w:rsidR="00FE5B61">
        <w:rPr>
          <w:rFonts w:ascii="Arial" w:hAnsi="Arial" w:cs="Arial"/>
          <w:sz w:val="24"/>
          <w:szCs w:val="24"/>
        </w:rPr>
        <w:t>,</w:t>
      </w:r>
      <w:r w:rsidR="00D93D4F" w:rsidRPr="00B1182F">
        <w:rPr>
          <w:rFonts w:ascii="Arial" w:hAnsi="Arial" w:cs="Arial"/>
          <w:sz w:val="24"/>
          <w:szCs w:val="24"/>
        </w:rPr>
        <w:t xml:space="preserve"> or not treated in secondary care</w:t>
      </w:r>
      <w:r w:rsidR="00FE5B61">
        <w:rPr>
          <w:rFonts w:ascii="Arial" w:hAnsi="Arial" w:cs="Arial"/>
          <w:sz w:val="24"/>
          <w:szCs w:val="24"/>
        </w:rPr>
        <w:t>,</w:t>
      </w:r>
      <w:r w:rsidR="00D93D4F" w:rsidRPr="00B1182F">
        <w:rPr>
          <w:rFonts w:ascii="Arial" w:hAnsi="Arial" w:cs="Arial"/>
          <w:sz w:val="24"/>
          <w:szCs w:val="24"/>
        </w:rPr>
        <w:t xml:space="preserve"> </w:t>
      </w:r>
      <w:r w:rsidR="0054592B">
        <w:rPr>
          <w:rFonts w:ascii="Arial" w:hAnsi="Arial" w:cs="Arial"/>
          <w:sz w:val="24"/>
          <w:szCs w:val="24"/>
        </w:rPr>
        <w:t>as this is an evolving situation.  Robust communication channel</w:t>
      </w:r>
      <w:r w:rsidR="00FE5B61">
        <w:rPr>
          <w:rFonts w:ascii="Arial" w:hAnsi="Arial" w:cs="Arial"/>
          <w:sz w:val="24"/>
          <w:szCs w:val="24"/>
        </w:rPr>
        <w:t>s</w:t>
      </w:r>
      <w:r w:rsidR="0054592B">
        <w:rPr>
          <w:rFonts w:ascii="Arial" w:hAnsi="Arial" w:cs="Arial"/>
          <w:sz w:val="24"/>
          <w:szCs w:val="24"/>
        </w:rPr>
        <w:t xml:space="preserve"> are also important</w:t>
      </w:r>
      <w:r w:rsidR="00D93D4F" w:rsidRPr="00B1182F">
        <w:rPr>
          <w:rFonts w:ascii="Arial" w:hAnsi="Arial" w:cs="Arial"/>
          <w:sz w:val="24"/>
          <w:szCs w:val="24"/>
        </w:rPr>
        <w:t xml:space="preserve"> to access </w:t>
      </w:r>
      <w:r w:rsidR="0054592B">
        <w:rPr>
          <w:rFonts w:ascii="Arial" w:hAnsi="Arial" w:cs="Arial"/>
          <w:sz w:val="24"/>
          <w:szCs w:val="24"/>
        </w:rPr>
        <w:t xml:space="preserve">advice from ophthalmologists and/or </w:t>
      </w:r>
      <w:r w:rsidR="0054592B" w:rsidRPr="00B1182F">
        <w:rPr>
          <w:rFonts w:ascii="Arial" w:hAnsi="Arial" w:cs="Arial"/>
          <w:sz w:val="24"/>
          <w:szCs w:val="24"/>
        </w:rPr>
        <w:t>ophthalmology</w:t>
      </w:r>
      <w:r w:rsidR="0054592B">
        <w:rPr>
          <w:rFonts w:ascii="Arial" w:hAnsi="Arial" w:cs="Arial"/>
          <w:sz w:val="24"/>
          <w:szCs w:val="24"/>
        </w:rPr>
        <w:t xml:space="preserve"> departments</w:t>
      </w:r>
      <w:r w:rsidR="00D93D4F" w:rsidRPr="00B1182F">
        <w:rPr>
          <w:rFonts w:ascii="Arial" w:hAnsi="Arial" w:cs="Arial"/>
          <w:sz w:val="24"/>
          <w:szCs w:val="24"/>
        </w:rPr>
        <w:t xml:space="preserve"> if needed.</w:t>
      </w:r>
    </w:p>
    <w:p w14:paraId="0B902BF7" w14:textId="77777777" w:rsidR="00454981" w:rsidRDefault="00454981" w:rsidP="00FE5B61">
      <w:pPr>
        <w:ind w:left="360"/>
        <w:rPr>
          <w:rFonts w:ascii="Arial" w:hAnsi="Arial" w:cs="Arial"/>
          <w:i/>
          <w:sz w:val="24"/>
          <w:szCs w:val="24"/>
          <w:u w:val="single"/>
        </w:rPr>
      </w:pPr>
    </w:p>
    <w:p w14:paraId="0A437403" w14:textId="24026958" w:rsidR="00D93D4F" w:rsidRPr="00FE5B61" w:rsidRDefault="00D93D4F" w:rsidP="00FE5B61">
      <w:pPr>
        <w:ind w:left="360"/>
        <w:rPr>
          <w:rFonts w:ascii="Arial" w:hAnsi="Arial" w:cs="Arial"/>
          <w:sz w:val="24"/>
          <w:szCs w:val="24"/>
        </w:rPr>
      </w:pPr>
      <w:r w:rsidRPr="00FE5B61">
        <w:rPr>
          <w:rFonts w:ascii="Arial" w:hAnsi="Arial" w:cs="Arial"/>
          <w:i/>
          <w:sz w:val="24"/>
          <w:szCs w:val="24"/>
          <w:u w:val="single"/>
        </w:rPr>
        <w:t>Covid19 Escalation planning</w:t>
      </w:r>
    </w:p>
    <w:p w14:paraId="25E402DA" w14:textId="77777777" w:rsidR="00D93D4F" w:rsidRPr="00D93D4F" w:rsidRDefault="00D93D4F" w:rsidP="00D93D4F">
      <w:pPr>
        <w:pStyle w:val="ListParagraph"/>
        <w:rPr>
          <w:rFonts w:ascii="Arial" w:hAnsi="Arial" w:cs="Arial"/>
          <w:i/>
          <w:sz w:val="24"/>
          <w:szCs w:val="24"/>
          <w:u w:val="single"/>
        </w:rPr>
      </w:pPr>
    </w:p>
    <w:p w14:paraId="58C65847" w14:textId="1250AC7B" w:rsidR="00D93D4F" w:rsidRPr="00D93D4F" w:rsidRDefault="00D93D4F" w:rsidP="00D93D4F">
      <w:pPr>
        <w:pStyle w:val="ListParagraph"/>
        <w:numPr>
          <w:ilvl w:val="0"/>
          <w:numId w:val="1"/>
        </w:numPr>
        <w:rPr>
          <w:rFonts w:ascii="Arial" w:hAnsi="Arial" w:cs="Arial"/>
          <w:sz w:val="24"/>
          <w:szCs w:val="24"/>
        </w:rPr>
      </w:pPr>
      <w:r>
        <w:rPr>
          <w:rFonts w:ascii="Arial" w:hAnsi="Arial" w:cs="Arial"/>
          <w:sz w:val="24"/>
          <w:szCs w:val="24"/>
        </w:rPr>
        <w:t xml:space="preserve">Health boards </w:t>
      </w:r>
      <w:r w:rsidRPr="00D93D4F">
        <w:rPr>
          <w:rFonts w:ascii="Arial" w:hAnsi="Arial" w:cs="Arial"/>
          <w:sz w:val="24"/>
          <w:szCs w:val="24"/>
        </w:rPr>
        <w:t xml:space="preserve">to urgently consider the </w:t>
      </w:r>
      <w:r w:rsidRPr="00D93D4F">
        <w:rPr>
          <w:rFonts w:ascii="Arial" w:hAnsi="Arial" w:cs="Arial"/>
          <w:b/>
          <w:sz w:val="24"/>
          <w:szCs w:val="24"/>
        </w:rPr>
        <w:t>next step</w:t>
      </w:r>
      <w:r>
        <w:rPr>
          <w:rFonts w:ascii="Arial" w:hAnsi="Arial" w:cs="Arial"/>
          <w:sz w:val="24"/>
          <w:szCs w:val="24"/>
        </w:rPr>
        <w:t xml:space="preserve"> of planning should a significant number of primary care</w:t>
      </w:r>
      <w:r w:rsidRPr="00D93D4F">
        <w:rPr>
          <w:rFonts w:ascii="Arial" w:hAnsi="Arial" w:cs="Arial"/>
          <w:sz w:val="24"/>
          <w:szCs w:val="24"/>
        </w:rPr>
        <w:t xml:space="preserve"> optometric practices close. </w:t>
      </w:r>
      <w:r w:rsidR="0054592B">
        <w:rPr>
          <w:rFonts w:ascii="Arial" w:hAnsi="Arial" w:cs="Arial"/>
          <w:sz w:val="24"/>
          <w:szCs w:val="24"/>
        </w:rPr>
        <w:t>M</w:t>
      </w:r>
      <w:r w:rsidRPr="00D93D4F">
        <w:rPr>
          <w:rFonts w:ascii="Arial" w:hAnsi="Arial" w:cs="Arial"/>
          <w:sz w:val="24"/>
          <w:szCs w:val="24"/>
        </w:rPr>
        <w:t>oving to</w:t>
      </w:r>
      <w:r w:rsidR="0054592B">
        <w:rPr>
          <w:rFonts w:ascii="Arial" w:hAnsi="Arial" w:cs="Arial"/>
          <w:sz w:val="24"/>
          <w:szCs w:val="24"/>
        </w:rPr>
        <w:t xml:space="preserve"> ‘</w:t>
      </w:r>
      <w:r w:rsidRPr="00D93D4F">
        <w:rPr>
          <w:rFonts w:ascii="Arial" w:hAnsi="Arial" w:cs="Arial"/>
          <w:sz w:val="24"/>
          <w:szCs w:val="24"/>
        </w:rPr>
        <w:t>cluster</w:t>
      </w:r>
      <w:r w:rsidR="0054592B">
        <w:rPr>
          <w:rFonts w:ascii="Arial" w:hAnsi="Arial" w:cs="Arial"/>
          <w:sz w:val="24"/>
          <w:szCs w:val="24"/>
        </w:rPr>
        <w:t>’</w:t>
      </w:r>
      <w:r w:rsidRPr="00D93D4F">
        <w:rPr>
          <w:rFonts w:ascii="Arial" w:hAnsi="Arial" w:cs="Arial"/>
          <w:sz w:val="24"/>
          <w:szCs w:val="24"/>
        </w:rPr>
        <w:t xml:space="preserve"> facilitated hubs, with optometrists providing sessional cover </w:t>
      </w:r>
      <w:r w:rsidR="0054592B">
        <w:rPr>
          <w:rFonts w:ascii="Arial" w:hAnsi="Arial" w:cs="Arial"/>
          <w:sz w:val="24"/>
          <w:szCs w:val="24"/>
        </w:rPr>
        <w:t xml:space="preserve">should be </w:t>
      </w:r>
      <w:r w:rsidRPr="00D93D4F">
        <w:rPr>
          <w:rFonts w:ascii="Arial" w:hAnsi="Arial" w:cs="Arial"/>
          <w:sz w:val="24"/>
          <w:szCs w:val="24"/>
        </w:rPr>
        <w:t xml:space="preserve">the next step in delivery. </w:t>
      </w:r>
    </w:p>
    <w:p w14:paraId="72AFC48D" w14:textId="77777777" w:rsidR="00454981" w:rsidRDefault="00454981">
      <w:pPr>
        <w:rPr>
          <w:rFonts w:ascii="Arial" w:hAnsi="Arial" w:cs="Arial"/>
          <w:b/>
          <w:sz w:val="24"/>
          <w:szCs w:val="24"/>
        </w:rPr>
      </w:pPr>
    </w:p>
    <w:p w14:paraId="74DC29E7" w14:textId="66E823BC" w:rsidR="009D299F" w:rsidRPr="00501F3A" w:rsidRDefault="009D299F">
      <w:pPr>
        <w:rPr>
          <w:rFonts w:ascii="Arial" w:hAnsi="Arial" w:cs="Arial"/>
          <w:b/>
          <w:sz w:val="24"/>
          <w:szCs w:val="24"/>
        </w:rPr>
      </w:pPr>
      <w:r w:rsidRPr="00501F3A">
        <w:rPr>
          <w:rFonts w:ascii="Arial" w:hAnsi="Arial" w:cs="Arial"/>
          <w:b/>
          <w:sz w:val="24"/>
          <w:szCs w:val="24"/>
        </w:rPr>
        <w:t>Secondary Care</w:t>
      </w:r>
    </w:p>
    <w:p w14:paraId="3D4066A6" w14:textId="7BCE63BE" w:rsidR="009D299F" w:rsidRPr="00501F3A" w:rsidRDefault="00FB59C7" w:rsidP="009D299F">
      <w:pPr>
        <w:rPr>
          <w:rFonts w:ascii="Arial" w:hAnsi="Arial" w:cs="Arial"/>
          <w:sz w:val="24"/>
          <w:szCs w:val="24"/>
          <w:lang w:val="en-US"/>
        </w:rPr>
      </w:pPr>
      <w:r w:rsidRPr="00501F3A">
        <w:rPr>
          <w:rFonts w:ascii="Arial" w:hAnsi="Arial" w:cs="Arial"/>
          <w:bCs/>
          <w:sz w:val="24"/>
          <w:szCs w:val="24"/>
          <w:lang w:val="en-US"/>
        </w:rPr>
        <w:t>Health boards to put in place action</w:t>
      </w:r>
      <w:r w:rsidR="006977FA">
        <w:rPr>
          <w:rFonts w:ascii="Arial" w:hAnsi="Arial" w:cs="Arial"/>
          <w:bCs/>
          <w:sz w:val="24"/>
          <w:szCs w:val="24"/>
          <w:lang w:val="en-US"/>
        </w:rPr>
        <w:t xml:space="preserve"> to</w:t>
      </w:r>
      <w:r w:rsidRPr="00501F3A">
        <w:rPr>
          <w:rFonts w:ascii="Arial" w:hAnsi="Arial" w:cs="Arial"/>
          <w:bCs/>
          <w:sz w:val="24"/>
          <w:szCs w:val="24"/>
          <w:lang w:val="en-US"/>
        </w:rPr>
        <w:t xml:space="preserve"> ensure </w:t>
      </w:r>
      <w:r w:rsidR="006977FA">
        <w:rPr>
          <w:rFonts w:ascii="Arial" w:hAnsi="Arial" w:cs="Arial"/>
          <w:bCs/>
          <w:sz w:val="24"/>
          <w:szCs w:val="24"/>
          <w:lang w:val="en-US"/>
        </w:rPr>
        <w:t>‘</w:t>
      </w:r>
      <w:r w:rsidRPr="00501F3A">
        <w:rPr>
          <w:rFonts w:ascii="Arial" w:hAnsi="Arial" w:cs="Arial"/>
          <w:bCs/>
          <w:sz w:val="24"/>
          <w:szCs w:val="24"/>
          <w:lang w:val="en-US"/>
        </w:rPr>
        <w:t>urgent</w:t>
      </w:r>
      <w:r w:rsidR="006977FA">
        <w:rPr>
          <w:rFonts w:ascii="Arial" w:hAnsi="Arial" w:cs="Arial"/>
          <w:bCs/>
          <w:sz w:val="24"/>
          <w:szCs w:val="24"/>
          <w:lang w:val="en-US"/>
        </w:rPr>
        <w:t>’</w:t>
      </w:r>
      <w:r w:rsidRPr="00501F3A">
        <w:rPr>
          <w:rFonts w:ascii="Arial" w:hAnsi="Arial" w:cs="Arial"/>
          <w:bCs/>
          <w:sz w:val="24"/>
          <w:szCs w:val="24"/>
          <w:lang w:val="en-US"/>
        </w:rPr>
        <w:t xml:space="preserve"> patients are seen and reviewed as appropriate and ensure strategies are implemented that</w:t>
      </w:r>
      <w:r w:rsidR="00501F3A">
        <w:rPr>
          <w:rFonts w:ascii="Arial" w:hAnsi="Arial" w:cs="Arial"/>
          <w:bCs/>
          <w:sz w:val="24"/>
          <w:szCs w:val="24"/>
          <w:lang w:val="en-US"/>
        </w:rPr>
        <w:t xml:space="preserve"> </w:t>
      </w:r>
      <w:r w:rsidR="009D299F" w:rsidRPr="00501F3A">
        <w:rPr>
          <w:rFonts w:ascii="Arial" w:hAnsi="Arial" w:cs="Arial"/>
          <w:bCs/>
          <w:sz w:val="24"/>
          <w:szCs w:val="24"/>
          <w:lang w:val="en-US"/>
        </w:rPr>
        <w:t xml:space="preserve">mitigate the loss of hospital based </w:t>
      </w:r>
      <w:r w:rsidRPr="00501F3A">
        <w:rPr>
          <w:rFonts w:ascii="Arial" w:hAnsi="Arial" w:cs="Arial"/>
          <w:bCs/>
          <w:sz w:val="24"/>
          <w:szCs w:val="24"/>
          <w:lang w:val="en-US"/>
        </w:rPr>
        <w:t>o</w:t>
      </w:r>
      <w:r w:rsidR="009D299F" w:rsidRPr="00501F3A">
        <w:rPr>
          <w:rFonts w:ascii="Arial" w:hAnsi="Arial" w:cs="Arial"/>
          <w:bCs/>
          <w:sz w:val="24"/>
          <w:szCs w:val="24"/>
          <w:lang w:val="en-US"/>
        </w:rPr>
        <w:t xml:space="preserve">phthalmology outpatient capacity </w:t>
      </w:r>
      <w:r w:rsidRPr="00501F3A">
        <w:rPr>
          <w:rFonts w:ascii="Arial" w:hAnsi="Arial" w:cs="Arial"/>
          <w:bCs/>
          <w:sz w:val="24"/>
          <w:szCs w:val="24"/>
          <w:lang w:val="en-US"/>
        </w:rPr>
        <w:t>over the next few months.</w:t>
      </w:r>
    </w:p>
    <w:p w14:paraId="4CE814A2" w14:textId="240B8BE4" w:rsidR="009D299F" w:rsidRPr="009D299F" w:rsidRDefault="009D299F" w:rsidP="009D299F">
      <w:pPr>
        <w:rPr>
          <w:rFonts w:ascii="Arial" w:hAnsi="Arial" w:cs="Arial"/>
          <w:iCs/>
          <w:sz w:val="24"/>
          <w:szCs w:val="24"/>
        </w:rPr>
      </w:pPr>
      <w:r w:rsidRPr="009D299F">
        <w:rPr>
          <w:rFonts w:ascii="Arial" w:hAnsi="Arial" w:cs="Arial"/>
          <w:iCs/>
          <w:sz w:val="24"/>
          <w:szCs w:val="24"/>
        </w:rPr>
        <w:t>The C</w:t>
      </w:r>
      <w:r w:rsidR="00711BA8">
        <w:rPr>
          <w:rFonts w:ascii="Arial" w:hAnsi="Arial" w:cs="Arial"/>
          <w:iCs/>
          <w:sz w:val="24"/>
          <w:szCs w:val="24"/>
        </w:rPr>
        <w:t>ovid</w:t>
      </w:r>
      <w:r w:rsidRPr="009D299F">
        <w:rPr>
          <w:rFonts w:ascii="Arial" w:hAnsi="Arial" w:cs="Arial"/>
          <w:iCs/>
          <w:sz w:val="24"/>
          <w:szCs w:val="24"/>
        </w:rPr>
        <w:t xml:space="preserve">-19 outbreak and associated healthcare demands represent a significant challenge to eye care services.  </w:t>
      </w:r>
      <w:r w:rsidR="006977FA">
        <w:rPr>
          <w:rFonts w:ascii="Arial" w:hAnsi="Arial" w:cs="Arial"/>
          <w:iCs/>
          <w:sz w:val="24"/>
          <w:szCs w:val="24"/>
        </w:rPr>
        <w:t>I</w:t>
      </w:r>
      <w:r w:rsidRPr="009D299F">
        <w:rPr>
          <w:rFonts w:ascii="Arial" w:hAnsi="Arial" w:cs="Arial"/>
          <w:iCs/>
          <w:sz w:val="24"/>
          <w:szCs w:val="24"/>
        </w:rPr>
        <w:t xml:space="preserve">t is imperative to continue to provide high quality eye care to our most at risk patients, and manage services proactively to reduce demand when the crisis is over.  The Welsh Government guidance on strategies should be employed by </w:t>
      </w:r>
      <w:r w:rsidR="006977FA">
        <w:rPr>
          <w:rFonts w:ascii="Arial" w:hAnsi="Arial" w:cs="Arial"/>
          <w:iCs/>
          <w:sz w:val="24"/>
          <w:szCs w:val="24"/>
        </w:rPr>
        <w:t>h</w:t>
      </w:r>
      <w:r w:rsidRPr="009D299F">
        <w:rPr>
          <w:rFonts w:ascii="Arial" w:hAnsi="Arial" w:cs="Arial"/>
          <w:iCs/>
          <w:sz w:val="24"/>
          <w:szCs w:val="24"/>
        </w:rPr>
        <w:t xml:space="preserve">ealth boards during this period.  </w:t>
      </w:r>
      <w:r w:rsidR="006977FA">
        <w:rPr>
          <w:rFonts w:ascii="Arial" w:hAnsi="Arial" w:cs="Arial"/>
          <w:iCs/>
          <w:sz w:val="24"/>
          <w:szCs w:val="24"/>
        </w:rPr>
        <w:t>C</w:t>
      </w:r>
      <w:r w:rsidRPr="009D299F">
        <w:rPr>
          <w:rFonts w:ascii="Arial" w:hAnsi="Arial" w:cs="Arial"/>
          <w:iCs/>
          <w:sz w:val="24"/>
          <w:szCs w:val="24"/>
        </w:rPr>
        <w:t>hanges in working practices and increased shared working between hospital and community resource</w:t>
      </w:r>
      <w:r w:rsidR="006977FA">
        <w:rPr>
          <w:rFonts w:ascii="Arial" w:hAnsi="Arial" w:cs="Arial"/>
          <w:iCs/>
          <w:sz w:val="24"/>
          <w:szCs w:val="24"/>
        </w:rPr>
        <w:t xml:space="preserve"> is imperative</w:t>
      </w:r>
      <w:r w:rsidRPr="009D299F">
        <w:rPr>
          <w:rFonts w:ascii="Arial" w:hAnsi="Arial" w:cs="Arial"/>
          <w:iCs/>
          <w:sz w:val="24"/>
          <w:szCs w:val="24"/>
        </w:rPr>
        <w:t xml:space="preserve">.  Community </w:t>
      </w:r>
      <w:r w:rsidR="006977FA">
        <w:rPr>
          <w:rFonts w:ascii="Arial" w:hAnsi="Arial" w:cs="Arial"/>
          <w:iCs/>
          <w:sz w:val="24"/>
          <w:szCs w:val="24"/>
        </w:rPr>
        <w:t xml:space="preserve">resources </w:t>
      </w:r>
      <w:r w:rsidRPr="009D299F">
        <w:rPr>
          <w:rFonts w:ascii="Arial" w:hAnsi="Arial" w:cs="Arial"/>
          <w:iCs/>
          <w:sz w:val="24"/>
          <w:szCs w:val="24"/>
        </w:rPr>
        <w:t xml:space="preserve">have adjusted their working practices to support </w:t>
      </w:r>
      <w:r w:rsidR="006977FA">
        <w:rPr>
          <w:rFonts w:ascii="Arial" w:hAnsi="Arial" w:cs="Arial"/>
          <w:iCs/>
          <w:sz w:val="24"/>
          <w:szCs w:val="24"/>
        </w:rPr>
        <w:t xml:space="preserve">and </w:t>
      </w:r>
      <w:r w:rsidRPr="009D299F">
        <w:rPr>
          <w:rFonts w:ascii="Arial" w:hAnsi="Arial" w:cs="Arial"/>
          <w:iCs/>
          <w:sz w:val="24"/>
          <w:szCs w:val="24"/>
        </w:rPr>
        <w:t>partner hospitals safely and with appropriate oversight.  </w:t>
      </w:r>
    </w:p>
    <w:p w14:paraId="7F47A39F" w14:textId="6A0262B2" w:rsidR="009D299F" w:rsidRPr="009D299F" w:rsidRDefault="009D299F" w:rsidP="009D299F">
      <w:pPr>
        <w:rPr>
          <w:rFonts w:ascii="Arial" w:hAnsi="Arial" w:cs="Arial"/>
          <w:sz w:val="24"/>
          <w:szCs w:val="24"/>
          <w:lang w:val="en-US"/>
        </w:rPr>
      </w:pPr>
      <w:r w:rsidRPr="009D299F">
        <w:rPr>
          <w:rFonts w:ascii="Arial" w:hAnsi="Arial" w:cs="Arial"/>
          <w:sz w:val="24"/>
          <w:szCs w:val="24"/>
          <w:lang w:val="en-US"/>
        </w:rPr>
        <w:t>The strategy to mitigate the effect of the virus on large numbers of “at risk” members of the population is social distancing, social separation and “shielding” for up to 12 weeks.  The aim is to separate this group of individuals from the circulating viral load within the healthy population, until critical care capacity improves, or herd immunity reduces the transmission of the virus.</w:t>
      </w:r>
      <w:r w:rsidR="006977FA">
        <w:rPr>
          <w:rFonts w:ascii="Arial" w:hAnsi="Arial" w:cs="Arial"/>
          <w:sz w:val="24"/>
          <w:szCs w:val="24"/>
          <w:lang w:val="en-US"/>
        </w:rPr>
        <w:t xml:space="preserve">  </w:t>
      </w:r>
      <w:r w:rsidRPr="009D299F">
        <w:rPr>
          <w:rFonts w:ascii="Arial" w:hAnsi="Arial" w:cs="Arial"/>
          <w:sz w:val="24"/>
          <w:szCs w:val="24"/>
          <w:lang w:val="en-US"/>
        </w:rPr>
        <w:t>The at risk population are considered to be:</w:t>
      </w:r>
    </w:p>
    <w:p w14:paraId="7A5D0E7C" w14:textId="77777777" w:rsidR="009D299F" w:rsidRPr="009D299F" w:rsidRDefault="009D299F" w:rsidP="009D299F">
      <w:pPr>
        <w:numPr>
          <w:ilvl w:val="0"/>
          <w:numId w:val="3"/>
        </w:numPr>
        <w:rPr>
          <w:rFonts w:ascii="Arial" w:hAnsi="Arial" w:cs="Arial"/>
          <w:b/>
          <w:bCs/>
          <w:i/>
          <w:iCs/>
          <w:sz w:val="24"/>
          <w:szCs w:val="24"/>
          <w:u w:val="single"/>
          <w:lang w:val="en-US"/>
        </w:rPr>
      </w:pPr>
      <w:r w:rsidRPr="009D299F">
        <w:rPr>
          <w:rFonts w:ascii="Arial" w:hAnsi="Arial" w:cs="Arial"/>
          <w:sz w:val="24"/>
          <w:szCs w:val="24"/>
          <w:lang w:val="en-US"/>
        </w:rPr>
        <w:t>Individuals over 70 years old</w:t>
      </w:r>
    </w:p>
    <w:p w14:paraId="5F019179" w14:textId="77777777" w:rsidR="009D299F" w:rsidRPr="009D299F" w:rsidRDefault="009D299F" w:rsidP="009D299F">
      <w:pPr>
        <w:numPr>
          <w:ilvl w:val="0"/>
          <w:numId w:val="3"/>
        </w:numPr>
        <w:rPr>
          <w:rFonts w:ascii="Arial" w:hAnsi="Arial" w:cs="Arial"/>
          <w:b/>
          <w:bCs/>
          <w:i/>
          <w:iCs/>
          <w:sz w:val="24"/>
          <w:szCs w:val="24"/>
          <w:u w:val="single"/>
          <w:lang w:val="en-US"/>
        </w:rPr>
      </w:pPr>
      <w:r w:rsidRPr="009D299F">
        <w:rPr>
          <w:rFonts w:ascii="Arial" w:hAnsi="Arial" w:cs="Arial"/>
          <w:sz w:val="24"/>
          <w:szCs w:val="24"/>
          <w:lang w:val="en-US"/>
        </w:rPr>
        <w:t>Those with underlying medical conditions - in particular those affecting the cardio-respiratory system</w:t>
      </w:r>
    </w:p>
    <w:p w14:paraId="5A36B47C" w14:textId="77922D3E" w:rsidR="009D299F" w:rsidRPr="009D299F" w:rsidRDefault="009D299F" w:rsidP="009D299F">
      <w:pPr>
        <w:rPr>
          <w:rFonts w:ascii="Arial" w:hAnsi="Arial" w:cs="Arial"/>
          <w:sz w:val="24"/>
          <w:szCs w:val="24"/>
          <w:lang w:val="en-US"/>
        </w:rPr>
      </w:pPr>
      <w:r w:rsidRPr="009D299F">
        <w:rPr>
          <w:rFonts w:ascii="Arial" w:hAnsi="Arial" w:cs="Arial"/>
          <w:sz w:val="24"/>
          <w:szCs w:val="24"/>
          <w:lang w:val="en-US"/>
        </w:rPr>
        <w:t xml:space="preserve">There is considerable overlap between </w:t>
      </w:r>
      <w:r w:rsidR="006977FA">
        <w:rPr>
          <w:rFonts w:ascii="Arial" w:hAnsi="Arial" w:cs="Arial"/>
          <w:sz w:val="24"/>
          <w:szCs w:val="24"/>
          <w:lang w:val="en-US"/>
        </w:rPr>
        <w:t>the at risk population</w:t>
      </w:r>
      <w:r w:rsidRPr="009D299F">
        <w:rPr>
          <w:rFonts w:ascii="Arial" w:hAnsi="Arial" w:cs="Arial"/>
          <w:sz w:val="24"/>
          <w:szCs w:val="24"/>
          <w:lang w:val="en-US"/>
        </w:rPr>
        <w:t xml:space="preserve"> and the majority of patients requiring continual outpatient appointments for potentially blinding disease.  In particular these concern Glaucoma and Macular patients requiring intra-vitreal injection therapies.  In both cases delays to review and/or treatment may result in irreversible sight loss.</w:t>
      </w:r>
    </w:p>
    <w:p w14:paraId="56EE1FA4" w14:textId="77777777" w:rsidR="00454981" w:rsidRDefault="00454981" w:rsidP="009D299F">
      <w:pPr>
        <w:rPr>
          <w:rFonts w:ascii="Arial" w:hAnsi="Arial" w:cs="Arial"/>
          <w:sz w:val="24"/>
          <w:szCs w:val="24"/>
          <w:lang w:val="en-US"/>
        </w:rPr>
      </w:pPr>
    </w:p>
    <w:p w14:paraId="7FB6D79A" w14:textId="123D5B8E" w:rsidR="009D299F" w:rsidRPr="009D299F" w:rsidRDefault="009D299F" w:rsidP="009D299F">
      <w:pPr>
        <w:rPr>
          <w:rFonts w:ascii="Arial" w:hAnsi="Arial" w:cs="Arial"/>
          <w:sz w:val="24"/>
          <w:szCs w:val="24"/>
          <w:lang w:val="en-US"/>
        </w:rPr>
      </w:pPr>
      <w:r w:rsidRPr="009D299F">
        <w:rPr>
          <w:rFonts w:ascii="Arial" w:hAnsi="Arial" w:cs="Arial"/>
          <w:sz w:val="24"/>
          <w:szCs w:val="24"/>
          <w:lang w:val="en-US"/>
        </w:rPr>
        <w:t xml:space="preserve">Traditional models for the delivery of eye care have relied upon face to face examinations </w:t>
      </w:r>
      <w:r w:rsidR="006977FA">
        <w:rPr>
          <w:rFonts w:ascii="Arial" w:hAnsi="Arial" w:cs="Arial"/>
          <w:sz w:val="24"/>
          <w:szCs w:val="24"/>
          <w:lang w:val="en-US"/>
        </w:rPr>
        <w:t>provided</w:t>
      </w:r>
      <w:r w:rsidRPr="009D299F">
        <w:rPr>
          <w:rFonts w:ascii="Arial" w:hAnsi="Arial" w:cs="Arial"/>
          <w:sz w:val="24"/>
          <w:szCs w:val="24"/>
          <w:lang w:val="en-US"/>
        </w:rPr>
        <w:t xml:space="preserve"> by appropriately trained clinicians and allied professionals within the hospital environment.  Review intervals are dictated by clinical strategy and the natural history of the condition being treated.  </w:t>
      </w:r>
    </w:p>
    <w:p w14:paraId="247A37FE" w14:textId="22CC4A14" w:rsidR="009D299F" w:rsidRPr="009D299F" w:rsidRDefault="009D299F" w:rsidP="009D299F">
      <w:pPr>
        <w:rPr>
          <w:rFonts w:ascii="Arial" w:hAnsi="Arial" w:cs="Arial"/>
          <w:sz w:val="24"/>
          <w:szCs w:val="24"/>
          <w:lang w:val="en-US"/>
        </w:rPr>
      </w:pPr>
      <w:r w:rsidRPr="009D299F">
        <w:rPr>
          <w:rFonts w:ascii="Arial" w:hAnsi="Arial" w:cs="Arial"/>
          <w:sz w:val="24"/>
          <w:szCs w:val="24"/>
          <w:lang w:val="en-US"/>
        </w:rPr>
        <w:t>There is abundant evidence that slit lamp examinations are a major risk factor for the transmission of C</w:t>
      </w:r>
      <w:r w:rsidR="00711BA8">
        <w:rPr>
          <w:rFonts w:ascii="Arial" w:hAnsi="Arial" w:cs="Arial"/>
          <w:sz w:val="24"/>
          <w:szCs w:val="24"/>
          <w:lang w:val="en-US"/>
        </w:rPr>
        <w:t>ovid</w:t>
      </w:r>
      <w:r w:rsidRPr="009D299F">
        <w:rPr>
          <w:rFonts w:ascii="Arial" w:hAnsi="Arial" w:cs="Arial"/>
          <w:sz w:val="24"/>
          <w:szCs w:val="24"/>
          <w:lang w:val="en-US"/>
        </w:rPr>
        <w:t>-19 and other aerosolised pathogens between patients and clinicians.  Ophthalmic outpatient clinics have largely been cancelled across Wales to reduce the social contact between at risk patients in waiting rooms and clinical areas.  Additionally it has been estimated that 20% of hospital staff may be absent through their own sickness at any one time during the pandemic.</w:t>
      </w:r>
    </w:p>
    <w:p w14:paraId="7FC2C74A" w14:textId="2386FE33" w:rsidR="009D299F" w:rsidRPr="009D299F" w:rsidRDefault="009D299F" w:rsidP="009D299F">
      <w:pPr>
        <w:rPr>
          <w:rFonts w:ascii="Arial" w:hAnsi="Arial" w:cs="Arial"/>
          <w:sz w:val="24"/>
          <w:szCs w:val="24"/>
          <w:lang w:val="en-US"/>
        </w:rPr>
      </w:pPr>
      <w:r w:rsidRPr="009D299F">
        <w:rPr>
          <w:rFonts w:ascii="Arial" w:hAnsi="Arial" w:cs="Arial"/>
          <w:sz w:val="24"/>
          <w:szCs w:val="24"/>
          <w:lang w:val="en-US"/>
        </w:rPr>
        <w:t>The combination of reduced clinical activity, social distancing, infection control measures and staff absences result in a risk that surveillance and treatment of blinding eye disease will be significantly compromised during</w:t>
      </w:r>
      <w:r w:rsidR="006977FA">
        <w:rPr>
          <w:rFonts w:ascii="Arial" w:hAnsi="Arial" w:cs="Arial"/>
          <w:sz w:val="24"/>
          <w:szCs w:val="24"/>
          <w:lang w:val="en-US"/>
        </w:rPr>
        <w:t xml:space="preserve"> C</w:t>
      </w:r>
      <w:r w:rsidR="00711BA8">
        <w:rPr>
          <w:rFonts w:ascii="Arial" w:hAnsi="Arial" w:cs="Arial"/>
          <w:sz w:val="24"/>
          <w:szCs w:val="24"/>
          <w:lang w:val="en-US"/>
        </w:rPr>
        <w:t>ovid</w:t>
      </w:r>
      <w:r w:rsidR="006977FA">
        <w:rPr>
          <w:rFonts w:ascii="Arial" w:hAnsi="Arial" w:cs="Arial"/>
          <w:sz w:val="24"/>
          <w:szCs w:val="24"/>
          <w:lang w:val="en-US"/>
        </w:rPr>
        <w:t>-19</w:t>
      </w:r>
      <w:r w:rsidRPr="009D299F">
        <w:rPr>
          <w:rFonts w:ascii="Arial" w:hAnsi="Arial" w:cs="Arial"/>
          <w:sz w:val="24"/>
          <w:szCs w:val="24"/>
          <w:lang w:val="en-US"/>
        </w:rPr>
        <w:t xml:space="preserve"> outbreak.</w:t>
      </w:r>
    </w:p>
    <w:p w14:paraId="74B41162" w14:textId="0CD2B90E" w:rsidR="009D299F" w:rsidRPr="009D299F" w:rsidRDefault="009D299F" w:rsidP="009D299F">
      <w:pPr>
        <w:rPr>
          <w:rFonts w:ascii="Arial" w:hAnsi="Arial" w:cs="Arial"/>
          <w:sz w:val="24"/>
          <w:szCs w:val="24"/>
          <w:lang w:val="en-US"/>
        </w:rPr>
      </w:pPr>
      <w:r w:rsidRPr="009D299F">
        <w:rPr>
          <w:rFonts w:ascii="Arial" w:hAnsi="Arial" w:cs="Arial"/>
          <w:sz w:val="24"/>
          <w:szCs w:val="24"/>
          <w:lang w:val="en-US"/>
        </w:rPr>
        <w:t xml:space="preserve">There are several mitigation strategies which may be employed to reduce the risk of unnecessary blindness whilst maintaining and enhancing protection against viral spread.  By design these strategies improve the efficiency and safety of </w:t>
      </w:r>
      <w:r w:rsidR="00FB59C7">
        <w:rPr>
          <w:rFonts w:ascii="Arial" w:hAnsi="Arial" w:cs="Arial"/>
          <w:sz w:val="24"/>
          <w:szCs w:val="24"/>
          <w:lang w:val="en-US"/>
        </w:rPr>
        <w:t>o</w:t>
      </w:r>
      <w:r w:rsidRPr="009D299F">
        <w:rPr>
          <w:rFonts w:ascii="Arial" w:hAnsi="Arial" w:cs="Arial"/>
          <w:sz w:val="24"/>
          <w:szCs w:val="24"/>
          <w:lang w:val="en-US"/>
        </w:rPr>
        <w:t xml:space="preserve">phthalmic systems </w:t>
      </w:r>
      <w:r w:rsidRPr="00383526">
        <w:rPr>
          <w:rFonts w:ascii="Arial" w:hAnsi="Arial" w:cs="Arial"/>
          <w:sz w:val="24"/>
          <w:szCs w:val="24"/>
          <w:lang w:val="en-US"/>
        </w:rPr>
        <w:t>and services which can be continued in the longer term</w:t>
      </w:r>
      <w:r w:rsidRPr="009D299F">
        <w:rPr>
          <w:rFonts w:ascii="Arial" w:hAnsi="Arial" w:cs="Arial"/>
          <w:sz w:val="24"/>
          <w:szCs w:val="24"/>
          <w:lang w:val="en-US"/>
        </w:rPr>
        <w:t>.</w:t>
      </w:r>
      <w:r w:rsidR="00711BA8">
        <w:rPr>
          <w:rFonts w:ascii="Arial" w:hAnsi="Arial" w:cs="Arial"/>
          <w:sz w:val="24"/>
          <w:szCs w:val="24"/>
          <w:lang w:val="en-US"/>
        </w:rPr>
        <w:t xml:space="preserve">  </w:t>
      </w:r>
      <w:r w:rsidRPr="009D299F">
        <w:rPr>
          <w:rFonts w:ascii="Arial" w:hAnsi="Arial" w:cs="Arial"/>
          <w:sz w:val="24"/>
          <w:szCs w:val="24"/>
          <w:lang w:val="en-US"/>
        </w:rPr>
        <w:t>In broad terms, these strategies fall under four main categories:</w:t>
      </w:r>
    </w:p>
    <w:p w14:paraId="3B0BC1FB" w14:textId="77777777" w:rsidR="009D299F" w:rsidRPr="00501F3A" w:rsidRDefault="009D299F" w:rsidP="00501F3A">
      <w:pPr>
        <w:pStyle w:val="ListParagraph"/>
        <w:numPr>
          <w:ilvl w:val="0"/>
          <w:numId w:val="7"/>
        </w:numPr>
        <w:rPr>
          <w:rFonts w:ascii="Arial" w:hAnsi="Arial" w:cs="Arial"/>
          <w:bCs/>
          <w:iCs/>
          <w:sz w:val="24"/>
          <w:szCs w:val="24"/>
          <w:u w:val="single"/>
          <w:lang w:val="en-US"/>
        </w:rPr>
      </w:pPr>
      <w:r w:rsidRPr="00501F3A">
        <w:rPr>
          <w:rFonts w:ascii="Arial" w:hAnsi="Arial" w:cs="Arial"/>
          <w:sz w:val="24"/>
          <w:szCs w:val="24"/>
          <w:lang w:val="en-US"/>
        </w:rPr>
        <w:t>Risk stratification</w:t>
      </w:r>
    </w:p>
    <w:p w14:paraId="4D1D8AE2" w14:textId="77777777" w:rsidR="009D299F" w:rsidRPr="00501F3A" w:rsidRDefault="009D299F" w:rsidP="00501F3A">
      <w:pPr>
        <w:pStyle w:val="ListParagraph"/>
        <w:numPr>
          <w:ilvl w:val="0"/>
          <w:numId w:val="7"/>
        </w:numPr>
        <w:rPr>
          <w:rFonts w:ascii="Arial" w:hAnsi="Arial" w:cs="Arial"/>
          <w:bCs/>
          <w:iCs/>
          <w:sz w:val="24"/>
          <w:szCs w:val="24"/>
          <w:u w:val="single"/>
          <w:lang w:val="en-US"/>
        </w:rPr>
      </w:pPr>
      <w:r w:rsidRPr="00501F3A">
        <w:rPr>
          <w:rFonts w:ascii="Arial" w:hAnsi="Arial" w:cs="Arial"/>
          <w:sz w:val="24"/>
          <w:szCs w:val="24"/>
          <w:lang w:val="en-US"/>
        </w:rPr>
        <w:t>Remote data gathering and review</w:t>
      </w:r>
    </w:p>
    <w:p w14:paraId="0165CBA2" w14:textId="77777777" w:rsidR="009D299F" w:rsidRPr="00501F3A" w:rsidRDefault="009D299F" w:rsidP="00501F3A">
      <w:pPr>
        <w:pStyle w:val="ListParagraph"/>
        <w:numPr>
          <w:ilvl w:val="0"/>
          <w:numId w:val="7"/>
        </w:numPr>
        <w:rPr>
          <w:rFonts w:ascii="Arial" w:hAnsi="Arial" w:cs="Arial"/>
          <w:bCs/>
          <w:iCs/>
          <w:sz w:val="24"/>
          <w:szCs w:val="24"/>
          <w:u w:val="single"/>
          <w:lang w:val="en-US"/>
        </w:rPr>
      </w:pPr>
      <w:r w:rsidRPr="00501F3A">
        <w:rPr>
          <w:rFonts w:ascii="Arial" w:hAnsi="Arial" w:cs="Arial"/>
          <w:sz w:val="24"/>
          <w:szCs w:val="24"/>
          <w:lang w:val="en-US"/>
        </w:rPr>
        <w:t>Highly efficient treatment pathways</w:t>
      </w:r>
    </w:p>
    <w:p w14:paraId="3941BCED" w14:textId="77777777" w:rsidR="009D299F" w:rsidRPr="00501F3A" w:rsidRDefault="009D299F" w:rsidP="00501F3A">
      <w:pPr>
        <w:pStyle w:val="ListParagraph"/>
        <w:numPr>
          <w:ilvl w:val="0"/>
          <w:numId w:val="7"/>
        </w:numPr>
        <w:rPr>
          <w:rFonts w:ascii="Arial" w:hAnsi="Arial" w:cs="Arial"/>
          <w:bCs/>
          <w:iCs/>
          <w:sz w:val="24"/>
          <w:szCs w:val="24"/>
          <w:u w:val="single"/>
          <w:lang w:val="en-US"/>
        </w:rPr>
      </w:pPr>
      <w:r w:rsidRPr="00501F3A">
        <w:rPr>
          <w:rFonts w:ascii="Arial" w:hAnsi="Arial" w:cs="Arial"/>
          <w:sz w:val="24"/>
          <w:szCs w:val="24"/>
          <w:lang w:val="en-US"/>
        </w:rPr>
        <w:t>Continual efficiency measures</w:t>
      </w:r>
    </w:p>
    <w:p w14:paraId="16554C5F" w14:textId="77777777" w:rsidR="00454981" w:rsidRDefault="00454981" w:rsidP="009D299F">
      <w:pPr>
        <w:rPr>
          <w:rFonts w:ascii="Arial" w:hAnsi="Arial" w:cs="Arial"/>
          <w:b/>
          <w:sz w:val="24"/>
          <w:szCs w:val="24"/>
          <w:lang w:val="en-US"/>
        </w:rPr>
      </w:pPr>
    </w:p>
    <w:p w14:paraId="1D825030" w14:textId="381B9CA6" w:rsidR="009D299F" w:rsidRPr="009D299F" w:rsidRDefault="009D299F" w:rsidP="009D299F">
      <w:pPr>
        <w:rPr>
          <w:rFonts w:ascii="Arial" w:hAnsi="Arial" w:cs="Arial"/>
          <w:b/>
          <w:sz w:val="24"/>
          <w:szCs w:val="24"/>
          <w:lang w:val="en-US"/>
        </w:rPr>
      </w:pPr>
      <w:r w:rsidRPr="009D299F">
        <w:rPr>
          <w:rFonts w:ascii="Arial" w:hAnsi="Arial" w:cs="Arial"/>
          <w:b/>
          <w:sz w:val="24"/>
          <w:szCs w:val="24"/>
          <w:lang w:val="en-US"/>
        </w:rPr>
        <w:t xml:space="preserve">1. </w:t>
      </w:r>
      <w:r w:rsidRPr="009D299F">
        <w:rPr>
          <w:rFonts w:ascii="Arial" w:hAnsi="Arial" w:cs="Arial"/>
          <w:b/>
          <w:iCs/>
          <w:sz w:val="24"/>
          <w:szCs w:val="24"/>
          <w:lang w:val="en-US"/>
        </w:rPr>
        <w:t>Risk stratification</w:t>
      </w:r>
    </w:p>
    <w:tbl>
      <w:tblPr>
        <w:tblStyle w:val="TableGrid"/>
        <w:tblW w:w="0" w:type="auto"/>
        <w:tblLook w:val="04A0" w:firstRow="1" w:lastRow="0" w:firstColumn="1" w:lastColumn="0" w:noHBand="0" w:noVBand="1"/>
      </w:tblPr>
      <w:tblGrid>
        <w:gridCol w:w="2186"/>
        <w:gridCol w:w="6830"/>
      </w:tblGrid>
      <w:tr w:rsidR="009D299F" w:rsidRPr="009D299F" w14:paraId="45001666" w14:textId="77777777" w:rsidTr="00501F3A">
        <w:tc>
          <w:tcPr>
            <w:tcW w:w="2186" w:type="dxa"/>
            <w:shd w:val="clear" w:color="auto" w:fill="E7E6E6" w:themeFill="background2"/>
          </w:tcPr>
          <w:p w14:paraId="6C7B2051"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Concept</w:t>
            </w:r>
          </w:p>
          <w:p w14:paraId="4A93B671" w14:textId="77777777" w:rsidR="009D299F" w:rsidRPr="009D299F" w:rsidRDefault="009D299F" w:rsidP="009D299F">
            <w:pPr>
              <w:spacing w:after="160" w:line="259" w:lineRule="auto"/>
              <w:rPr>
                <w:rFonts w:ascii="Arial" w:hAnsi="Arial" w:cs="Arial"/>
                <w:b/>
                <w:sz w:val="24"/>
                <w:szCs w:val="24"/>
                <w:lang w:val="en-US"/>
              </w:rPr>
            </w:pPr>
          </w:p>
        </w:tc>
        <w:tc>
          <w:tcPr>
            <w:tcW w:w="6830" w:type="dxa"/>
          </w:tcPr>
          <w:p w14:paraId="1FCAE000"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Only provide face to face services to those patients for whom the risk of non-intervention within the next four months outweighs the risk of contact</w:t>
            </w:r>
          </w:p>
        </w:tc>
      </w:tr>
      <w:tr w:rsidR="009D299F" w:rsidRPr="009D299F" w14:paraId="0B3BC64E" w14:textId="77777777" w:rsidTr="00501F3A">
        <w:tc>
          <w:tcPr>
            <w:tcW w:w="2186" w:type="dxa"/>
            <w:shd w:val="clear" w:color="auto" w:fill="E7E6E6" w:themeFill="background2"/>
          </w:tcPr>
          <w:p w14:paraId="2F681BF3"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Purpose</w:t>
            </w:r>
          </w:p>
          <w:p w14:paraId="48050B66" w14:textId="77777777" w:rsidR="009D299F" w:rsidRPr="009D299F" w:rsidRDefault="009D299F" w:rsidP="009D299F">
            <w:pPr>
              <w:spacing w:after="160" w:line="259" w:lineRule="auto"/>
              <w:rPr>
                <w:rFonts w:ascii="Arial" w:hAnsi="Arial" w:cs="Arial"/>
                <w:b/>
                <w:sz w:val="24"/>
                <w:szCs w:val="24"/>
                <w:lang w:val="en-US"/>
              </w:rPr>
            </w:pPr>
          </w:p>
        </w:tc>
        <w:tc>
          <w:tcPr>
            <w:tcW w:w="6830" w:type="dxa"/>
          </w:tcPr>
          <w:p w14:paraId="049324E5"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Reduce unnecessary visits to hospital to zero.</w:t>
            </w:r>
          </w:p>
          <w:p w14:paraId="1BFB1AB1" w14:textId="77777777" w:rsidR="009D299F" w:rsidRPr="009D299F" w:rsidRDefault="009D299F" w:rsidP="009D299F">
            <w:pPr>
              <w:spacing w:after="160" w:line="259" w:lineRule="auto"/>
              <w:rPr>
                <w:rFonts w:ascii="Arial" w:hAnsi="Arial" w:cs="Arial"/>
                <w:sz w:val="24"/>
                <w:szCs w:val="24"/>
                <w:lang w:val="en-US"/>
              </w:rPr>
            </w:pPr>
          </w:p>
        </w:tc>
      </w:tr>
      <w:tr w:rsidR="009D299F" w:rsidRPr="009D299F" w14:paraId="7CF26DC9" w14:textId="77777777" w:rsidTr="00501F3A">
        <w:tc>
          <w:tcPr>
            <w:tcW w:w="2186" w:type="dxa"/>
            <w:shd w:val="clear" w:color="auto" w:fill="E7E6E6" w:themeFill="background2"/>
          </w:tcPr>
          <w:p w14:paraId="0F335530"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Execution</w:t>
            </w:r>
          </w:p>
        </w:tc>
        <w:tc>
          <w:tcPr>
            <w:tcW w:w="6830" w:type="dxa"/>
          </w:tcPr>
          <w:p w14:paraId="2516F645" w14:textId="0B120F5A"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Each unit to stratify risk of adverse ophthalmic outcome by clinical group.  Patients at high risk of adverse outcome with non-intervention must be contacted and appropriate intervention arranged.  Patients in lower risk groups contacted and deferred.</w:t>
            </w:r>
          </w:p>
        </w:tc>
      </w:tr>
      <w:tr w:rsidR="009D299F" w:rsidRPr="009D299F" w14:paraId="22438708" w14:textId="77777777" w:rsidTr="00501F3A">
        <w:tc>
          <w:tcPr>
            <w:tcW w:w="2186" w:type="dxa"/>
            <w:shd w:val="clear" w:color="auto" w:fill="E7E6E6" w:themeFill="background2"/>
          </w:tcPr>
          <w:p w14:paraId="7B6AA51D"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Timeframe</w:t>
            </w:r>
          </w:p>
          <w:p w14:paraId="454D355B" w14:textId="77777777" w:rsidR="009D299F" w:rsidRPr="009D299F" w:rsidRDefault="009D299F" w:rsidP="009D299F">
            <w:pPr>
              <w:spacing w:after="160" w:line="259" w:lineRule="auto"/>
              <w:rPr>
                <w:rFonts w:ascii="Arial" w:hAnsi="Arial" w:cs="Arial"/>
                <w:b/>
                <w:sz w:val="24"/>
                <w:szCs w:val="24"/>
                <w:lang w:val="en-US"/>
              </w:rPr>
            </w:pPr>
          </w:p>
        </w:tc>
        <w:tc>
          <w:tcPr>
            <w:tcW w:w="6830" w:type="dxa"/>
          </w:tcPr>
          <w:p w14:paraId="3E04CC96"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Immediate.</w:t>
            </w:r>
          </w:p>
          <w:p w14:paraId="592958E1" w14:textId="77777777" w:rsidR="009D299F" w:rsidRPr="009D299F" w:rsidRDefault="009D299F" w:rsidP="009D299F">
            <w:pPr>
              <w:spacing w:after="160" w:line="259" w:lineRule="auto"/>
              <w:rPr>
                <w:rFonts w:ascii="Arial" w:hAnsi="Arial" w:cs="Arial"/>
                <w:sz w:val="24"/>
                <w:szCs w:val="24"/>
                <w:lang w:val="en-US"/>
              </w:rPr>
            </w:pPr>
          </w:p>
        </w:tc>
      </w:tr>
      <w:tr w:rsidR="009D299F" w:rsidRPr="009D299F" w14:paraId="51E3063A" w14:textId="77777777" w:rsidTr="00501F3A">
        <w:tc>
          <w:tcPr>
            <w:tcW w:w="2186" w:type="dxa"/>
            <w:shd w:val="clear" w:color="auto" w:fill="E7E6E6" w:themeFill="background2"/>
          </w:tcPr>
          <w:p w14:paraId="13A008D6"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lastRenderedPageBreak/>
              <w:t>Current position</w:t>
            </w:r>
          </w:p>
          <w:p w14:paraId="7D7FC5CA" w14:textId="77777777" w:rsidR="009D299F" w:rsidRPr="009D299F" w:rsidRDefault="009D299F" w:rsidP="009D299F">
            <w:pPr>
              <w:spacing w:after="160" w:line="259" w:lineRule="auto"/>
              <w:rPr>
                <w:rFonts w:ascii="Arial" w:hAnsi="Arial" w:cs="Arial"/>
                <w:b/>
                <w:sz w:val="24"/>
                <w:szCs w:val="24"/>
                <w:lang w:val="en-US"/>
              </w:rPr>
            </w:pPr>
          </w:p>
        </w:tc>
        <w:tc>
          <w:tcPr>
            <w:tcW w:w="6830" w:type="dxa"/>
          </w:tcPr>
          <w:p w14:paraId="29D3E499"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All health boards should have completed this and patients informed.</w:t>
            </w:r>
          </w:p>
          <w:p w14:paraId="27F3DFF2" w14:textId="0C9EF255"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Moorfields have produced a stratifica</w:t>
            </w:r>
            <w:r w:rsidR="00454981">
              <w:rPr>
                <w:rFonts w:ascii="Arial" w:hAnsi="Arial" w:cs="Arial"/>
                <w:sz w:val="24"/>
                <w:szCs w:val="24"/>
                <w:lang w:val="en-US"/>
              </w:rPr>
              <w:t xml:space="preserve">tion tool that can be </w:t>
            </w:r>
            <w:r w:rsidRPr="009D299F">
              <w:rPr>
                <w:rFonts w:ascii="Arial" w:hAnsi="Arial" w:cs="Arial"/>
                <w:sz w:val="24"/>
                <w:szCs w:val="24"/>
                <w:lang w:val="en-US"/>
              </w:rPr>
              <w:t xml:space="preserve"> utilised and amended as necessary.</w:t>
            </w:r>
          </w:p>
        </w:tc>
      </w:tr>
    </w:tbl>
    <w:p w14:paraId="0D72CB92" w14:textId="77777777" w:rsidR="009D299F" w:rsidRPr="009D299F" w:rsidRDefault="009D299F" w:rsidP="009D299F">
      <w:pPr>
        <w:rPr>
          <w:rFonts w:ascii="Arial" w:hAnsi="Arial" w:cs="Arial"/>
          <w:sz w:val="24"/>
          <w:szCs w:val="24"/>
          <w:lang w:val="en-US"/>
        </w:rPr>
      </w:pPr>
    </w:p>
    <w:p w14:paraId="5CBFBF97" w14:textId="77777777" w:rsidR="009D299F" w:rsidRPr="009D299F" w:rsidRDefault="009D299F" w:rsidP="009D299F">
      <w:pPr>
        <w:rPr>
          <w:rFonts w:ascii="Arial" w:hAnsi="Arial" w:cs="Arial"/>
          <w:sz w:val="24"/>
          <w:szCs w:val="24"/>
          <w:lang w:val="en-US"/>
        </w:rPr>
      </w:pPr>
      <w:r w:rsidRPr="009D299F">
        <w:rPr>
          <w:rFonts w:ascii="Arial" w:hAnsi="Arial" w:cs="Arial"/>
          <w:b/>
          <w:sz w:val="24"/>
          <w:szCs w:val="24"/>
          <w:lang w:val="en-US"/>
        </w:rPr>
        <w:t>2.</w:t>
      </w:r>
      <w:r w:rsidRPr="009D299F">
        <w:rPr>
          <w:rFonts w:ascii="Arial" w:hAnsi="Arial" w:cs="Arial"/>
          <w:b/>
          <w:iCs/>
          <w:sz w:val="24"/>
          <w:szCs w:val="24"/>
          <w:lang w:val="en-US"/>
        </w:rPr>
        <w:t xml:space="preserve"> Remote data gathering and review</w:t>
      </w:r>
    </w:p>
    <w:tbl>
      <w:tblPr>
        <w:tblStyle w:val="TableGrid"/>
        <w:tblW w:w="0" w:type="auto"/>
        <w:tblLook w:val="04A0" w:firstRow="1" w:lastRow="0" w:firstColumn="1" w:lastColumn="0" w:noHBand="0" w:noVBand="1"/>
      </w:tblPr>
      <w:tblGrid>
        <w:gridCol w:w="2179"/>
        <w:gridCol w:w="6837"/>
      </w:tblGrid>
      <w:tr w:rsidR="009D299F" w:rsidRPr="009D299F" w14:paraId="26804D76" w14:textId="77777777" w:rsidTr="00711BA8">
        <w:tc>
          <w:tcPr>
            <w:tcW w:w="2179" w:type="dxa"/>
          </w:tcPr>
          <w:p w14:paraId="1F747ECD"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Concept</w:t>
            </w:r>
          </w:p>
        </w:tc>
        <w:tc>
          <w:tcPr>
            <w:tcW w:w="6837" w:type="dxa"/>
          </w:tcPr>
          <w:p w14:paraId="5331546A"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Use community based facilities - particularly optometric practices - to gather relevant clinical data on selected patients to allow remote review of contemporaneous information with consultant led management.  Pool consultant resources to provide cross cover across the region and beyond to allow for absences in each location.</w:t>
            </w:r>
          </w:p>
        </w:tc>
      </w:tr>
      <w:tr w:rsidR="009D299F" w:rsidRPr="009D299F" w14:paraId="407FDFEF" w14:textId="77777777" w:rsidTr="00711BA8">
        <w:tc>
          <w:tcPr>
            <w:tcW w:w="2179" w:type="dxa"/>
          </w:tcPr>
          <w:p w14:paraId="23287160"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Purpose</w:t>
            </w:r>
          </w:p>
          <w:p w14:paraId="61922A9E" w14:textId="77777777" w:rsidR="009D299F" w:rsidRPr="009D299F" w:rsidRDefault="009D299F" w:rsidP="009D299F">
            <w:pPr>
              <w:spacing w:after="160" w:line="259" w:lineRule="auto"/>
              <w:rPr>
                <w:rFonts w:ascii="Arial" w:hAnsi="Arial" w:cs="Arial"/>
                <w:b/>
                <w:sz w:val="24"/>
                <w:szCs w:val="24"/>
                <w:lang w:val="en-US"/>
              </w:rPr>
            </w:pPr>
          </w:p>
        </w:tc>
        <w:tc>
          <w:tcPr>
            <w:tcW w:w="6837" w:type="dxa"/>
          </w:tcPr>
          <w:p w14:paraId="3F79D8D3"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Maintain review and management pathways for medium risk patients who do not require hospital intervention, in order to reduce harm in moderate risk groups, and forestall increased demands on the service after societal restrictions are eased.</w:t>
            </w:r>
          </w:p>
        </w:tc>
      </w:tr>
      <w:tr w:rsidR="009D299F" w:rsidRPr="009D299F" w14:paraId="28706B05" w14:textId="77777777" w:rsidTr="00711BA8">
        <w:tc>
          <w:tcPr>
            <w:tcW w:w="2179" w:type="dxa"/>
          </w:tcPr>
          <w:p w14:paraId="04BEA008"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Execution</w:t>
            </w:r>
          </w:p>
        </w:tc>
        <w:tc>
          <w:tcPr>
            <w:tcW w:w="6837" w:type="dxa"/>
          </w:tcPr>
          <w:p w14:paraId="200DFBF8"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 xml:space="preserve">Existing models of working on glaucoma data capture pathways in health boards have proved to be effective and therefore should be used across Wales.  </w:t>
            </w:r>
          </w:p>
          <w:p w14:paraId="53882140"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Based on this work, existing paperwork, payment and administration solutions have been adapted for use by NHS Wales to allow standardised paperwork. This will allow records to be sent to any available specialist in order to continue to provide reviews during period of absence of the primary consultant.</w:t>
            </w:r>
          </w:p>
        </w:tc>
      </w:tr>
      <w:tr w:rsidR="009D299F" w:rsidRPr="009D299F" w14:paraId="4706F259" w14:textId="77777777" w:rsidTr="00711BA8">
        <w:tc>
          <w:tcPr>
            <w:tcW w:w="2179" w:type="dxa"/>
          </w:tcPr>
          <w:p w14:paraId="7BC65F54"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Timeframe</w:t>
            </w:r>
          </w:p>
          <w:p w14:paraId="0444026B" w14:textId="77777777" w:rsidR="009D299F" w:rsidRPr="009D299F" w:rsidRDefault="009D299F" w:rsidP="009D299F">
            <w:pPr>
              <w:spacing w:after="160" w:line="259" w:lineRule="auto"/>
              <w:rPr>
                <w:rFonts w:ascii="Arial" w:hAnsi="Arial" w:cs="Arial"/>
                <w:b/>
                <w:sz w:val="24"/>
                <w:szCs w:val="24"/>
                <w:lang w:val="en-US"/>
              </w:rPr>
            </w:pPr>
          </w:p>
        </w:tc>
        <w:tc>
          <w:tcPr>
            <w:tcW w:w="6837" w:type="dxa"/>
          </w:tcPr>
          <w:p w14:paraId="401D81BC" w14:textId="5F7C415A" w:rsidR="00711BA8" w:rsidRPr="009D299F" w:rsidRDefault="009D299F" w:rsidP="00454981">
            <w:pPr>
              <w:spacing w:after="160" w:line="259" w:lineRule="auto"/>
              <w:rPr>
                <w:rFonts w:ascii="Arial" w:hAnsi="Arial" w:cs="Arial"/>
                <w:sz w:val="24"/>
                <w:szCs w:val="24"/>
                <w:lang w:val="en-US"/>
              </w:rPr>
            </w:pPr>
            <w:r w:rsidRPr="009D299F">
              <w:rPr>
                <w:rFonts w:ascii="Arial" w:hAnsi="Arial" w:cs="Arial"/>
                <w:sz w:val="24"/>
                <w:szCs w:val="24"/>
                <w:lang w:val="en-US"/>
              </w:rPr>
              <w:t xml:space="preserve">The existing paperwork and administrative processes can be used immediately and communication with optometric practices undertaken by the ROC groups. </w:t>
            </w:r>
            <w:r w:rsidR="00454981">
              <w:rPr>
                <w:rFonts w:ascii="Arial" w:hAnsi="Arial" w:cs="Arial"/>
                <w:sz w:val="24"/>
                <w:szCs w:val="24"/>
                <w:lang w:val="en-US"/>
              </w:rPr>
              <w:t xml:space="preserve"> The proposed flow chart and pathway is attached to this correspondence</w:t>
            </w:r>
          </w:p>
        </w:tc>
      </w:tr>
    </w:tbl>
    <w:p w14:paraId="4CF67F82" w14:textId="77777777" w:rsidR="00711BA8" w:rsidRDefault="00711BA8" w:rsidP="009D299F">
      <w:pPr>
        <w:rPr>
          <w:rFonts w:ascii="Arial" w:hAnsi="Arial" w:cs="Arial"/>
          <w:b/>
          <w:iCs/>
          <w:sz w:val="24"/>
          <w:szCs w:val="24"/>
          <w:lang w:val="en-US"/>
        </w:rPr>
      </w:pPr>
    </w:p>
    <w:p w14:paraId="61C19B2D" w14:textId="1F95B2BB" w:rsidR="009D299F" w:rsidRPr="009D299F" w:rsidRDefault="009D299F" w:rsidP="009D299F">
      <w:pPr>
        <w:rPr>
          <w:rFonts w:ascii="Arial" w:hAnsi="Arial" w:cs="Arial"/>
          <w:b/>
          <w:sz w:val="24"/>
          <w:szCs w:val="24"/>
          <w:lang w:val="en-US"/>
        </w:rPr>
      </w:pPr>
      <w:r w:rsidRPr="009D299F">
        <w:rPr>
          <w:rFonts w:ascii="Arial" w:hAnsi="Arial" w:cs="Arial"/>
          <w:b/>
          <w:iCs/>
          <w:sz w:val="24"/>
          <w:szCs w:val="24"/>
          <w:lang w:val="en-US"/>
        </w:rPr>
        <w:t xml:space="preserve">3. Implement efficient treatment pathways </w:t>
      </w:r>
    </w:p>
    <w:tbl>
      <w:tblPr>
        <w:tblStyle w:val="TableGrid"/>
        <w:tblW w:w="0" w:type="auto"/>
        <w:tblLook w:val="04A0" w:firstRow="1" w:lastRow="0" w:firstColumn="1" w:lastColumn="0" w:noHBand="0" w:noVBand="1"/>
      </w:tblPr>
      <w:tblGrid>
        <w:gridCol w:w="2177"/>
        <w:gridCol w:w="6839"/>
      </w:tblGrid>
      <w:tr w:rsidR="009D299F" w:rsidRPr="009D299F" w14:paraId="7F960140" w14:textId="77777777" w:rsidTr="00711BA8">
        <w:tc>
          <w:tcPr>
            <w:tcW w:w="2177" w:type="dxa"/>
          </w:tcPr>
          <w:p w14:paraId="7F86BBAA"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Concept</w:t>
            </w:r>
          </w:p>
        </w:tc>
        <w:tc>
          <w:tcPr>
            <w:tcW w:w="6839" w:type="dxa"/>
          </w:tcPr>
          <w:p w14:paraId="40265471" w14:textId="77777777" w:rsid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Services previously delivered in hospitals, may be offered in other settings where the risk of doing so is outweighed by the benefit of continuing the service.  This principle will maintain pre-existing sight loss prevention strategies, and minimise waits when the service returns to normal.</w:t>
            </w:r>
          </w:p>
          <w:p w14:paraId="4A64296C" w14:textId="75A11818" w:rsidR="00454981" w:rsidRPr="009D299F" w:rsidRDefault="00454981" w:rsidP="009D299F">
            <w:pPr>
              <w:spacing w:after="160" w:line="259" w:lineRule="auto"/>
              <w:rPr>
                <w:rFonts w:ascii="Arial" w:hAnsi="Arial" w:cs="Arial"/>
                <w:sz w:val="24"/>
                <w:szCs w:val="24"/>
                <w:lang w:val="en-US"/>
              </w:rPr>
            </w:pPr>
          </w:p>
        </w:tc>
      </w:tr>
      <w:tr w:rsidR="009D299F" w:rsidRPr="009D299F" w14:paraId="45546229" w14:textId="77777777" w:rsidTr="00711BA8">
        <w:tc>
          <w:tcPr>
            <w:tcW w:w="2177" w:type="dxa"/>
          </w:tcPr>
          <w:p w14:paraId="38BAFF78"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lastRenderedPageBreak/>
              <w:t>Purpose</w:t>
            </w:r>
          </w:p>
          <w:p w14:paraId="78E764F3" w14:textId="77777777" w:rsidR="009D299F" w:rsidRPr="009D299F" w:rsidRDefault="009D299F" w:rsidP="009D299F">
            <w:pPr>
              <w:spacing w:after="160" w:line="259" w:lineRule="auto"/>
              <w:rPr>
                <w:rFonts w:ascii="Arial" w:hAnsi="Arial" w:cs="Arial"/>
                <w:b/>
                <w:sz w:val="24"/>
                <w:szCs w:val="24"/>
                <w:lang w:val="en-US"/>
              </w:rPr>
            </w:pPr>
          </w:p>
        </w:tc>
        <w:tc>
          <w:tcPr>
            <w:tcW w:w="6839" w:type="dxa"/>
          </w:tcPr>
          <w:p w14:paraId="26CA98CB" w14:textId="56A3FAFF"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Resources should be directed towards improving the efficiency of all pathways, in order to maintain the quality of service previously offered, with reduced hospital visits and availability of clinical staff.</w:t>
            </w:r>
          </w:p>
        </w:tc>
      </w:tr>
      <w:tr w:rsidR="009D299F" w:rsidRPr="009D299F" w14:paraId="4FA63A25" w14:textId="77777777" w:rsidTr="00711BA8">
        <w:tc>
          <w:tcPr>
            <w:tcW w:w="2177" w:type="dxa"/>
          </w:tcPr>
          <w:p w14:paraId="5146A47F"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Execution</w:t>
            </w:r>
          </w:p>
        </w:tc>
        <w:tc>
          <w:tcPr>
            <w:tcW w:w="6839" w:type="dxa"/>
          </w:tcPr>
          <w:p w14:paraId="06783552" w14:textId="2F965A63"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Sight loss pathways (mainly wAMD and glaucoma) should consider switching to community data collection, robust communication, community delivered therapies and planned hospital follow-up after 12 weeks.</w:t>
            </w:r>
          </w:p>
          <w:p w14:paraId="6660735C" w14:textId="77777777" w:rsidR="009D299F" w:rsidRPr="009D299F" w:rsidRDefault="009D299F" w:rsidP="009D299F">
            <w:pPr>
              <w:spacing w:after="160" w:line="259" w:lineRule="auto"/>
              <w:rPr>
                <w:rFonts w:ascii="Arial" w:hAnsi="Arial" w:cs="Arial"/>
                <w:sz w:val="24"/>
                <w:szCs w:val="24"/>
                <w:u w:val="single"/>
                <w:lang w:val="en-US"/>
              </w:rPr>
            </w:pPr>
            <w:r w:rsidRPr="009D299F">
              <w:rPr>
                <w:rFonts w:ascii="Arial" w:hAnsi="Arial" w:cs="Arial"/>
                <w:sz w:val="24"/>
                <w:szCs w:val="24"/>
                <w:u w:val="single"/>
                <w:lang w:val="en-US"/>
              </w:rPr>
              <w:t xml:space="preserve">wAMD pathways currently require OCT and VA before decision to treat.  </w:t>
            </w:r>
          </w:p>
          <w:p w14:paraId="1D368ADB"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In order to reduce the risk of transmission of COVID-19 to “at risk” groups (who make up a large proportion of wAMD patients), a strategy to only bring patients to injection facilities who are known to need an injection should be implemented.  This can be achieved either by using fixed dosing intervals, or using community resources.</w:t>
            </w:r>
          </w:p>
          <w:p w14:paraId="6AA460EA" w14:textId="77777777" w:rsidR="009D299F" w:rsidRPr="009D299F" w:rsidRDefault="009D299F" w:rsidP="009D299F">
            <w:pPr>
              <w:numPr>
                <w:ilvl w:val="0"/>
                <w:numId w:val="6"/>
              </w:numPr>
              <w:spacing w:after="160" w:line="259" w:lineRule="auto"/>
              <w:rPr>
                <w:rFonts w:ascii="Arial" w:hAnsi="Arial" w:cs="Arial"/>
                <w:b/>
                <w:bCs/>
                <w:i/>
                <w:iCs/>
                <w:sz w:val="24"/>
                <w:szCs w:val="24"/>
                <w:u w:val="single"/>
                <w:lang w:val="en-US"/>
              </w:rPr>
            </w:pPr>
            <w:r w:rsidRPr="009D299F">
              <w:rPr>
                <w:rFonts w:ascii="Arial" w:hAnsi="Arial" w:cs="Arial"/>
                <w:sz w:val="24"/>
                <w:szCs w:val="24"/>
                <w:lang w:val="en-US"/>
              </w:rPr>
              <w:t>Fixed dose intervals for injections with no OCT</w:t>
            </w:r>
          </w:p>
          <w:p w14:paraId="3F26EF1D" w14:textId="77777777" w:rsidR="009D299F" w:rsidRPr="009D299F" w:rsidRDefault="009D299F" w:rsidP="009D299F">
            <w:pPr>
              <w:numPr>
                <w:ilvl w:val="1"/>
                <w:numId w:val="6"/>
              </w:numPr>
              <w:spacing w:after="160" w:line="259" w:lineRule="auto"/>
              <w:rPr>
                <w:rFonts w:ascii="Arial" w:hAnsi="Arial" w:cs="Arial"/>
                <w:b/>
                <w:bCs/>
                <w:i/>
                <w:iCs/>
                <w:sz w:val="24"/>
                <w:szCs w:val="24"/>
                <w:u w:val="single"/>
                <w:lang w:val="en-US"/>
              </w:rPr>
            </w:pPr>
            <w:r w:rsidRPr="009D299F">
              <w:rPr>
                <w:rFonts w:ascii="Arial" w:hAnsi="Arial" w:cs="Arial"/>
                <w:sz w:val="24"/>
                <w:szCs w:val="24"/>
                <w:lang w:val="en-US"/>
              </w:rPr>
              <w:t>Treat every patient on pathway</w:t>
            </w:r>
          </w:p>
          <w:p w14:paraId="53AFF9E9" w14:textId="77777777" w:rsidR="009D299F" w:rsidRPr="009D299F" w:rsidRDefault="009D299F" w:rsidP="009D299F">
            <w:pPr>
              <w:numPr>
                <w:ilvl w:val="0"/>
                <w:numId w:val="6"/>
              </w:numPr>
              <w:spacing w:after="160" w:line="259" w:lineRule="auto"/>
              <w:rPr>
                <w:rFonts w:ascii="Arial" w:hAnsi="Arial" w:cs="Arial"/>
                <w:b/>
                <w:bCs/>
                <w:i/>
                <w:iCs/>
                <w:sz w:val="24"/>
                <w:szCs w:val="24"/>
                <w:u w:val="single"/>
                <w:lang w:val="en-US"/>
              </w:rPr>
            </w:pPr>
            <w:r w:rsidRPr="009D299F">
              <w:rPr>
                <w:rFonts w:ascii="Arial" w:hAnsi="Arial" w:cs="Arial"/>
                <w:sz w:val="24"/>
                <w:szCs w:val="24"/>
                <w:lang w:val="en-US"/>
              </w:rPr>
              <w:t>PRN/T &amp; E to continue with community gathered OCT/VA data</w:t>
            </w:r>
          </w:p>
          <w:p w14:paraId="21133956" w14:textId="77777777" w:rsidR="009D299F" w:rsidRPr="009D299F" w:rsidRDefault="009D299F" w:rsidP="009D299F">
            <w:pPr>
              <w:numPr>
                <w:ilvl w:val="1"/>
                <w:numId w:val="6"/>
              </w:numPr>
              <w:spacing w:after="160" w:line="259" w:lineRule="auto"/>
              <w:rPr>
                <w:rFonts w:ascii="Arial" w:hAnsi="Arial" w:cs="Arial"/>
                <w:b/>
                <w:bCs/>
                <w:i/>
                <w:iCs/>
                <w:sz w:val="24"/>
                <w:szCs w:val="24"/>
                <w:u w:val="single"/>
                <w:lang w:val="en-US"/>
              </w:rPr>
            </w:pPr>
            <w:r w:rsidRPr="009D299F">
              <w:rPr>
                <w:rFonts w:ascii="Arial" w:hAnsi="Arial" w:cs="Arial"/>
                <w:sz w:val="24"/>
                <w:szCs w:val="24"/>
                <w:lang w:val="en-US"/>
              </w:rPr>
              <w:t>Use community resources to gather data, review virtually then book injections only for patients requiring injection</w:t>
            </w:r>
          </w:p>
          <w:p w14:paraId="72546773" w14:textId="3A9F7016" w:rsid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Injections could be carried out using community dental facilities in the future. Rather than bringing 100 patients into the hospital for injections, they could be assigned to local dental practices and receive injections in their clean rooms.  RCOphth guidance does not establish minimum requirements for injection facilities, and many intravitreal injections are carried out in office settings around the world with no increase in infective adverse events.  Intravitreal injections can be carried out by all grades of ophthalmologists, as well as suitably trained allied health professionals.  Injection guides and devices are available to improve the safety and repeatability of these interventions.  Redundancy should be built into the injecting workforce in order to cope when staff sickness and absence occurs.</w:t>
            </w:r>
          </w:p>
          <w:p w14:paraId="119BC08E" w14:textId="77777777" w:rsidR="00454981" w:rsidRPr="009D299F" w:rsidRDefault="00454981" w:rsidP="009D299F">
            <w:pPr>
              <w:spacing w:after="160" w:line="259" w:lineRule="auto"/>
              <w:rPr>
                <w:rFonts w:ascii="Arial" w:hAnsi="Arial" w:cs="Arial"/>
                <w:sz w:val="24"/>
                <w:szCs w:val="24"/>
                <w:lang w:val="en-US"/>
              </w:rPr>
            </w:pPr>
          </w:p>
          <w:p w14:paraId="5D685223"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u w:val="single"/>
                <w:lang w:val="en-US"/>
              </w:rPr>
              <w:lastRenderedPageBreak/>
              <w:t>Glaucoma pathways</w:t>
            </w:r>
          </w:p>
          <w:p w14:paraId="2E3D9F24"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 xml:space="preserve">New and pending referrals for asymptomatic glaucoma should be returned to the referrer with a request to provide temporal data - repeat measures (IOP, field and disc image) at least four months after initial assessment before onward referral (if still required).  </w:t>
            </w:r>
          </w:p>
          <w:p w14:paraId="120BDA17"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Asymptomatic patients not yet assessed in clinic should have repeated measures in the community.</w:t>
            </w:r>
          </w:p>
          <w:p w14:paraId="6A744DC2"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Review patients should be stratified into “high risk of sight loss within four months” based on existing data, and “low risk”.  High risk patients may have repeat measures collected in the community and virtual review undertaken, with changes in therapy directed by the consultant.  Any spare community/virtual clinic capacity may be used to gather data and review lower risk cases.</w:t>
            </w:r>
          </w:p>
          <w:p w14:paraId="1C7BACF0" w14:textId="77777777" w:rsidR="009D299F" w:rsidRPr="009D299F" w:rsidRDefault="009D299F" w:rsidP="009D299F">
            <w:pPr>
              <w:spacing w:after="160" w:line="259" w:lineRule="auto"/>
              <w:rPr>
                <w:rFonts w:ascii="Arial" w:hAnsi="Arial" w:cs="Arial"/>
                <w:sz w:val="24"/>
                <w:szCs w:val="24"/>
                <w:u w:val="single"/>
                <w:lang w:val="en-US"/>
              </w:rPr>
            </w:pPr>
            <w:r w:rsidRPr="009D299F">
              <w:rPr>
                <w:rFonts w:ascii="Arial" w:hAnsi="Arial" w:cs="Arial"/>
                <w:sz w:val="24"/>
                <w:szCs w:val="24"/>
                <w:lang w:val="en-US"/>
              </w:rPr>
              <w:t>Consideration should be given to placing “high risk” patients in the at risk groups (COVID-19) on maximal medical therapy without further assessment, if the risk of sight loss is thought to be outweighed by the risk of transmission of COVID-19 within data gathering environments, and ensuring prompt follow-up as soon as social distancing rules allow.</w:t>
            </w:r>
          </w:p>
        </w:tc>
      </w:tr>
      <w:tr w:rsidR="009D299F" w:rsidRPr="009D299F" w14:paraId="01DC1703" w14:textId="77777777" w:rsidTr="00711BA8">
        <w:tc>
          <w:tcPr>
            <w:tcW w:w="2177" w:type="dxa"/>
          </w:tcPr>
          <w:p w14:paraId="371177CE"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lastRenderedPageBreak/>
              <w:t>Timeframe</w:t>
            </w:r>
          </w:p>
          <w:p w14:paraId="342DF5ED" w14:textId="77777777" w:rsidR="009D299F" w:rsidRPr="009D299F" w:rsidRDefault="009D299F" w:rsidP="009D299F">
            <w:pPr>
              <w:spacing w:after="160" w:line="259" w:lineRule="auto"/>
              <w:rPr>
                <w:rFonts w:ascii="Arial" w:hAnsi="Arial" w:cs="Arial"/>
                <w:b/>
                <w:sz w:val="24"/>
                <w:szCs w:val="24"/>
                <w:lang w:val="en-US"/>
              </w:rPr>
            </w:pPr>
          </w:p>
        </w:tc>
        <w:tc>
          <w:tcPr>
            <w:tcW w:w="6839" w:type="dxa"/>
          </w:tcPr>
          <w:p w14:paraId="624041A3"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2-4 weeks to full operationalisation.</w:t>
            </w:r>
          </w:p>
          <w:p w14:paraId="26E02069" w14:textId="77777777" w:rsidR="009D299F" w:rsidRDefault="009D299F" w:rsidP="009D299F">
            <w:pPr>
              <w:spacing w:after="160" w:line="259" w:lineRule="auto"/>
              <w:rPr>
                <w:rFonts w:ascii="Arial" w:hAnsi="Arial" w:cs="Arial"/>
                <w:sz w:val="24"/>
                <w:szCs w:val="24"/>
                <w:lang w:val="en-US"/>
              </w:rPr>
            </w:pPr>
          </w:p>
          <w:p w14:paraId="17FA8C11" w14:textId="1768B478" w:rsidR="00711BA8" w:rsidRPr="009D299F" w:rsidRDefault="00711BA8" w:rsidP="009D299F">
            <w:pPr>
              <w:spacing w:after="160" w:line="259" w:lineRule="auto"/>
              <w:rPr>
                <w:rFonts w:ascii="Arial" w:hAnsi="Arial" w:cs="Arial"/>
                <w:sz w:val="24"/>
                <w:szCs w:val="24"/>
                <w:lang w:val="en-US"/>
              </w:rPr>
            </w:pPr>
          </w:p>
        </w:tc>
      </w:tr>
    </w:tbl>
    <w:p w14:paraId="736B6F5B" w14:textId="77777777" w:rsidR="009D299F" w:rsidRPr="00711BA8" w:rsidRDefault="009D299F" w:rsidP="009D299F">
      <w:pPr>
        <w:rPr>
          <w:rFonts w:ascii="Arial" w:hAnsi="Arial" w:cs="Arial"/>
          <w:sz w:val="16"/>
          <w:szCs w:val="16"/>
          <w:lang w:val="en-US"/>
        </w:rPr>
      </w:pPr>
    </w:p>
    <w:p w14:paraId="4869B05B" w14:textId="77777777" w:rsidR="009D299F" w:rsidRPr="009D299F" w:rsidRDefault="009D299F" w:rsidP="009D299F">
      <w:pPr>
        <w:rPr>
          <w:rFonts w:ascii="Arial" w:hAnsi="Arial" w:cs="Arial"/>
          <w:b/>
          <w:iCs/>
          <w:sz w:val="24"/>
          <w:szCs w:val="24"/>
          <w:lang w:val="en-US"/>
        </w:rPr>
      </w:pPr>
      <w:r w:rsidRPr="009D299F">
        <w:rPr>
          <w:rFonts w:ascii="Arial" w:hAnsi="Arial" w:cs="Arial"/>
          <w:b/>
          <w:sz w:val="24"/>
          <w:szCs w:val="24"/>
          <w:lang w:val="en-US"/>
        </w:rPr>
        <w:t xml:space="preserve"> </w:t>
      </w:r>
      <w:r w:rsidRPr="009D299F">
        <w:rPr>
          <w:rFonts w:ascii="Arial" w:hAnsi="Arial" w:cs="Arial"/>
          <w:b/>
          <w:iCs/>
          <w:sz w:val="24"/>
          <w:szCs w:val="24"/>
          <w:lang w:val="en-US"/>
        </w:rPr>
        <w:t>4. Continual efficiency measures - risk stratification</w:t>
      </w:r>
    </w:p>
    <w:tbl>
      <w:tblPr>
        <w:tblStyle w:val="TableGrid"/>
        <w:tblW w:w="0" w:type="auto"/>
        <w:tblLook w:val="04A0" w:firstRow="1" w:lastRow="0" w:firstColumn="1" w:lastColumn="0" w:noHBand="0" w:noVBand="1"/>
      </w:tblPr>
      <w:tblGrid>
        <w:gridCol w:w="2188"/>
        <w:gridCol w:w="6828"/>
      </w:tblGrid>
      <w:tr w:rsidR="009D299F" w:rsidRPr="009D299F" w14:paraId="3FFD6BF6" w14:textId="77777777" w:rsidTr="00711BA8">
        <w:tc>
          <w:tcPr>
            <w:tcW w:w="2188" w:type="dxa"/>
          </w:tcPr>
          <w:p w14:paraId="167D2A12"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Concept</w:t>
            </w:r>
          </w:p>
        </w:tc>
        <w:tc>
          <w:tcPr>
            <w:tcW w:w="6828" w:type="dxa"/>
          </w:tcPr>
          <w:p w14:paraId="2189D6AD" w14:textId="003AE4BF"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Existing follow-up lists will contain large numbers of patients who will not benefit from further follow-up.  The opportunity of reduced clinical work over the next three months may allow clinicians to review the follow-up caseload and reassign patients to community based schemes, or discharge them entirely.</w:t>
            </w:r>
          </w:p>
        </w:tc>
      </w:tr>
      <w:tr w:rsidR="009D299F" w:rsidRPr="009D299F" w14:paraId="7160B1AA" w14:textId="77777777" w:rsidTr="00711BA8">
        <w:tc>
          <w:tcPr>
            <w:tcW w:w="2188" w:type="dxa"/>
          </w:tcPr>
          <w:p w14:paraId="78239049"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Purpose</w:t>
            </w:r>
          </w:p>
          <w:p w14:paraId="07632B25" w14:textId="77777777" w:rsidR="009D299F" w:rsidRPr="009D299F" w:rsidRDefault="009D299F" w:rsidP="009D299F">
            <w:pPr>
              <w:spacing w:after="160" w:line="259" w:lineRule="auto"/>
              <w:rPr>
                <w:rFonts w:ascii="Arial" w:hAnsi="Arial" w:cs="Arial"/>
                <w:b/>
                <w:sz w:val="24"/>
                <w:szCs w:val="24"/>
                <w:lang w:val="en-US"/>
              </w:rPr>
            </w:pPr>
          </w:p>
        </w:tc>
        <w:tc>
          <w:tcPr>
            <w:tcW w:w="6828" w:type="dxa"/>
          </w:tcPr>
          <w:p w14:paraId="429536B6" w14:textId="5E238ED6"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To reduce the residual demand on the eye care service following resumption of normal business, and to make use of community strategies employed during the crisis for the future.</w:t>
            </w:r>
          </w:p>
        </w:tc>
      </w:tr>
      <w:tr w:rsidR="009D299F" w:rsidRPr="009D299F" w14:paraId="56078092" w14:textId="77777777" w:rsidTr="00711BA8">
        <w:tc>
          <w:tcPr>
            <w:tcW w:w="2188" w:type="dxa"/>
          </w:tcPr>
          <w:p w14:paraId="258CC6E3"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t>Execution</w:t>
            </w:r>
          </w:p>
        </w:tc>
        <w:tc>
          <w:tcPr>
            <w:tcW w:w="6828" w:type="dxa"/>
          </w:tcPr>
          <w:p w14:paraId="6B5FD1FB" w14:textId="0E9E5895"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 xml:space="preserve">All FNUB, and follow-up patients to be virtually reviewed based on last letters and clinical information during the next </w:t>
            </w:r>
            <w:r w:rsidRPr="009D299F">
              <w:rPr>
                <w:rFonts w:ascii="Arial" w:hAnsi="Arial" w:cs="Arial"/>
                <w:sz w:val="24"/>
                <w:szCs w:val="24"/>
                <w:lang w:val="en-US"/>
              </w:rPr>
              <w:lastRenderedPageBreak/>
              <w:t>three months, with resignation of follow-up status as directed by senior clinicians.</w:t>
            </w:r>
          </w:p>
        </w:tc>
      </w:tr>
      <w:tr w:rsidR="009D299F" w:rsidRPr="009D299F" w14:paraId="076F07D5" w14:textId="77777777" w:rsidTr="00711BA8">
        <w:tc>
          <w:tcPr>
            <w:tcW w:w="2188" w:type="dxa"/>
          </w:tcPr>
          <w:p w14:paraId="78DC3A93" w14:textId="77777777" w:rsidR="009D299F" w:rsidRPr="009D299F" w:rsidRDefault="009D299F" w:rsidP="009D299F">
            <w:pPr>
              <w:spacing w:after="160" w:line="259" w:lineRule="auto"/>
              <w:rPr>
                <w:rFonts w:ascii="Arial" w:hAnsi="Arial" w:cs="Arial"/>
                <w:b/>
                <w:sz w:val="24"/>
                <w:szCs w:val="24"/>
                <w:lang w:val="en-US"/>
              </w:rPr>
            </w:pPr>
            <w:r w:rsidRPr="009D299F">
              <w:rPr>
                <w:rFonts w:ascii="Arial" w:hAnsi="Arial" w:cs="Arial"/>
                <w:b/>
                <w:sz w:val="24"/>
                <w:szCs w:val="24"/>
                <w:lang w:val="en-US"/>
              </w:rPr>
              <w:lastRenderedPageBreak/>
              <w:t>Timeframe</w:t>
            </w:r>
          </w:p>
          <w:p w14:paraId="33C01BEE" w14:textId="77777777" w:rsidR="009D299F" w:rsidRPr="009D299F" w:rsidRDefault="009D299F" w:rsidP="009D299F">
            <w:pPr>
              <w:spacing w:after="160" w:line="259" w:lineRule="auto"/>
              <w:rPr>
                <w:rFonts w:ascii="Arial" w:hAnsi="Arial" w:cs="Arial"/>
                <w:b/>
                <w:sz w:val="24"/>
                <w:szCs w:val="24"/>
                <w:lang w:val="en-US"/>
              </w:rPr>
            </w:pPr>
          </w:p>
        </w:tc>
        <w:tc>
          <w:tcPr>
            <w:tcW w:w="6828" w:type="dxa"/>
          </w:tcPr>
          <w:p w14:paraId="6BFC3D1E" w14:textId="77777777" w:rsidR="009D299F" w:rsidRPr="009D299F" w:rsidRDefault="009D299F" w:rsidP="009D299F">
            <w:pPr>
              <w:spacing w:after="160" w:line="259" w:lineRule="auto"/>
              <w:rPr>
                <w:rFonts w:ascii="Arial" w:hAnsi="Arial" w:cs="Arial"/>
                <w:sz w:val="24"/>
                <w:szCs w:val="24"/>
                <w:lang w:val="en-US"/>
              </w:rPr>
            </w:pPr>
            <w:r w:rsidRPr="009D299F">
              <w:rPr>
                <w:rFonts w:ascii="Arial" w:hAnsi="Arial" w:cs="Arial"/>
                <w:sz w:val="24"/>
                <w:szCs w:val="24"/>
                <w:lang w:val="en-US"/>
              </w:rPr>
              <w:t>Within one month.</w:t>
            </w:r>
          </w:p>
          <w:p w14:paraId="4249770B" w14:textId="77777777" w:rsidR="009D299F" w:rsidRDefault="009D299F" w:rsidP="009D299F">
            <w:pPr>
              <w:spacing w:after="160" w:line="259" w:lineRule="auto"/>
              <w:rPr>
                <w:rFonts w:ascii="Arial" w:hAnsi="Arial" w:cs="Arial"/>
                <w:sz w:val="24"/>
                <w:szCs w:val="24"/>
                <w:lang w:val="en-US"/>
              </w:rPr>
            </w:pPr>
          </w:p>
          <w:p w14:paraId="0E7A5DD9" w14:textId="335AED2C" w:rsidR="00711BA8" w:rsidRPr="009D299F" w:rsidRDefault="00711BA8" w:rsidP="009D299F">
            <w:pPr>
              <w:spacing w:after="160" w:line="259" w:lineRule="auto"/>
              <w:rPr>
                <w:rFonts w:ascii="Arial" w:hAnsi="Arial" w:cs="Arial"/>
                <w:sz w:val="24"/>
                <w:szCs w:val="24"/>
                <w:lang w:val="en-US"/>
              </w:rPr>
            </w:pPr>
          </w:p>
        </w:tc>
      </w:tr>
    </w:tbl>
    <w:p w14:paraId="498C1A1F" w14:textId="77777777" w:rsidR="009D299F" w:rsidRPr="009D299F" w:rsidRDefault="009D299F" w:rsidP="009D299F">
      <w:pPr>
        <w:rPr>
          <w:rFonts w:ascii="Arial" w:hAnsi="Arial" w:cs="Arial"/>
          <w:sz w:val="24"/>
          <w:szCs w:val="24"/>
          <w:lang w:val="en-US"/>
        </w:rPr>
      </w:pPr>
    </w:p>
    <w:p w14:paraId="1ED2E364" w14:textId="77777777" w:rsidR="009D299F" w:rsidRDefault="009D299F">
      <w:pPr>
        <w:rPr>
          <w:rFonts w:ascii="Arial" w:hAnsi="Arial" w:cs="Arial"/>
          <w:sz w:val="24"/>
          <w:szCs w:val="24"/>
        </w:rPr>
      </w:pPr>
    </w:p>
    <w:p w14:paraId="1B6A3BC9" w14:textId="77777777" w:rsidR="00D04738" w:rsidRPr="00404DAC" w:rsidRDefault="00D04738">
      <w:pPr>
        <w:rPr>
          <w:rFonts w:ascii="Arial" w:hAnsi="Arial" w:cs="Arial"/>
          <w:sz w:val="24"/>
          <w:szCs w:val="24"/>
        </w:rPr>
      </w:pPr>
    </w:p>
    <w:sectPr w:rsidR="00D04738" w:rsidRPr="00404DA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8EABB" w14:textId="77777777" w:rsidR="00615B17" w:rsidRDefault="00615B17" w:rsidP="00454981">
      <w:pPr>
        <w:spacing w:after="0" w:line="240" w:lineRule="auto"/>
      </w:pPr>
      <w:r>
        <w:separator/>
      </w:r>
    </w:p>
  </w:endnote>
  <w:endnote w:type="continuationSeparator" w:id="0">
    <w:p w14:paraId="2CA4BA07" w14:textId="77777777" w:rsidR="00615B17" w:rsidRDefault="00615B17" w:rsidP="0045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997279"/>
      <w:docPartObj>
        <w:docPartGallery w:val="Page Numbers (Bottom of Page)"/>
        <w:docPartUnique/>
      </w:docPartObj>
    </w:sdtPr>
    <w:sdtEndPr>
      <w:rPr>
        <w:noProof/>
      </w:rPr>
    </w:sdtEndPr>
    <w:sdtContent>
      <w:p w14:paraId="46611E14" w14:textId="393CD841" w:rsidR="00454981" w:rsidRDefault="00454981">
        <w:pPr>
          <w:pStyle w:val="Footer"/>
          <w:jc w:val="center"/>
        </w:pPr>
        <w:r>
          <w:fldChar w:fldCharType="begin"/>
        </w:r>
        <w:r>
          <w:instrText xml:space="preserve"> PAGE   \* MERGEFORMAT </w:instrText>
        </w:r>
        <w:r>
          <w:fldChar w:fldCharType="separate"/>
        </w:r>
        <w:r w:rsidR="00C86B0A">
          <w:rPr>
            <w:noProof/>
          </w:rPr>
          <w:t>6</w:t>
        </w:r>
        <w:r>
          <w:rPr>
            <w:noProof/>
          </w:rPr>
          <w:fldChar w:fldCharType="end"/>
        </w:r>
      </w:p>
    </w:sdtContent>
  </w:sdt>
  <w:p w14:paraId="13A028F1" w14:textId="77777777" w:rsidR="00454981" w:rsidRDefault="0045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B0555" w14:textId="77777777" w:rsidR="00615B17" w:rsidRDefault="00615B17" w:rsidP="00454981">
      <w:pPr>
        <w:spacing w:after="0" w:line="240" w:lineRule="auto"/>
      </w:pPr>
      <w:r>
        <w:separator/>
      </w:r>
    </w:p>
  </w:footnote>
  <w:footnote w:type="continuationSeparator" w:id="0">
    <w:p w14:paraId="37CB9FDE" w14:textId="77777777" w:rsidR="00615B17" w:rsidRDefault="00615B17" w:rsidP="00454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C24C" w14:textId="60DA91BC" w:rsidR="00454981" w:rsidRDefault="00454981" w:rsidP="00454981">
    <w:pPr>
      <w:pStyle w:val="Header"/>
      <w:tabs>
        <w:tab w:val="left" w:pos="-567"/>
      </w:tabs>
      <w:ind w:hanging="567"/>
    </w:pPr>
    <w:r>
      <w:rPr>
        <w:noProof/>
        <w:lang w:eastAsia="en-GB"/>
      </w:rPr>
      <w:drawing>
        <wp:inline distT="0" distB="0" distL="0" distR="0" wp14:anchorId="1A63B9BE" wp14:editId="7ED96C96">
          <wp:extent cx="1402080"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822960"/>
                  </a:xfrm>
                  <a:prstGeom prst="rect">
                    <a:avLst/>
                  </a:prstGeom>
                  <a:noFill/>
                </pic:spPr>
              </pic:pic>
            </a:graphicData>
          </a:graphic>
        </wp:inline>
      </w:drawing>
    </w:r>
    <w:r>
      <w:t xml:space="preserve">                                                                                                               </w:t>
    </w:r>
    <w:r>
      <w:rPr>
        <w:noProof/>
        <w:lang w:eastAsia="en-GB"/>
      </w:rPr>
      <w:drawing>
        <wp:inline distT="0" distB="0" distL="0" distR="0" wp14:anchorId="3C810E64" wp14:editId="29B005C8">
          <wp:extent cx="871855" cy="82931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55"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49"/>
    <w:multiLevelType w:val="hybridMultilevel"/>
    <w:tmpl w:val="014C3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62A74"/>
    <w:multiLevelType w:val="hybridMultilevel"/>
    <w:tmpl w:val="5F00023A"/>
    <w:numStyleLink w:val="Numbered"/>
  </w:abstractNum>
  <w:abstractNum w:abstractNumId="2" w15:restartNumberingAfterBreak="0">
    <w:nsid w:val="14000484"/>
    <w:multiLevelType w:val="hybridMultilevel"/>
    <w:tmpl w:val="D59A3722"/>
    <w:styleLink w:val="Bullet"/>
    <w:lvl w:ilvl="0" w:tplc="65A03066">
      <w:start w:val="1"/>
      <w:numFmt w:val="bullet"/>
      <w:lvlText w:val="•"/>
      <w:lvlJc w:val="left"/>
      <w:pPr>
        <w:ind w:left="213" w:hanging="213"/>
      </w:pPr>
      <w:rPr>
        <w:rFonts w:hAnsi="Arial Unicode MS"/>
        <w:b/>
        <w:bCs/>
        <w:i/>
        <w:iCs/>
        <w:caps w:val="0"/>
        <w:smallCaps w:val="0"/>
        <w:strike w:val="0"/>
        <w:dstrike w:val="0"/>
        <w:outline w:val="0"/>
        <w:emboss w:val="0"/>
        <w:imprint w:val="0"/>
        <w:spacing w:val="0"/>
        <w:w w:val="100"/>
        <w:kern w:val="0"/>
        <w:position w:val="-2"/>
        <w:highlight w:val="none"/>
        <w:vertAlign w:val="baseline"/>
      </w:rPr>
    </w:lvl>
    <w:lvl w:ilvl="1" w:tplc="33A47406">
      <w:start w:val="1"/>
      <w:numFmt w:val="bullet"/>
      <w:lvlText w:val="•"/>
      <w:lvlJc w:val="left"/>
      <w:pPr>
        <w:ind w:left="393" w:hanging="213"/>
      </w:pPr>
      <w:rPr>
        <w:rFonts w:hAnsi="Arial Unicode MS"/>
        <w:b/>
        <w:bCs/>
        <w:i/>
        <w:iCs/>
        <w:caps w:val="0"/>
        <w:smallCaps w:val="0"/>
        <w:strike w:val="0"/>
        <w:dstrike w:val="0"/>
        <w:outline w:val="0"/>
        <w:emboss w:val="0"/>
        <w:imprint w:val="0"/>
        <w:spacing w:val="0"/>
        <w:w w:val="100"/>
        <w:kern w:val="0"/>
        <w:position w:val="-2"/>
        <w:highlight w:val="none"/>
        <w:vertAlign w:val="baseline"/>
      </w:rPr>
    </w:lvl>
    <w:lvl w:ilvl="2" w:tplc="6616C870">
      <w:start w:val="1"/>
      <w:numFmt w:val="bullet"/>
      <w:lvlText w:val="•"/>
      <w:lvlJc w:val="left"/>
      <w:pPr>
        <w:ind w:left="573" w:hanging="213"/>
      </w:pPr>
      <w:rPr>
        <w:rFonts w:hAnsi="Arial Unicode MS"/>
        <w:b/>
        <w:bCs/>
        <w:i/>
        <w:iCs/>
        <w:caps w:val="0"/>
        <w:smallCaps w:val="0"/>
        <w:strike w:val="0"/>
        <w:dstrike w:val="0"/>
        <w:outline w:val="0"/>
        <w:emboss w:val="0"/>
        <w:imprint w:val="0"/>
        <w:spacing w:val="0"/>
        <w:w w:val="100"/>
        <w:kern w:val="0"/>
        <w:position w:val="-2"/>
        <w:highlight w:val="none"/>
        <w:vertAlign w:val="baseline"/>
      </w:rPr>
    </w:lvl>
    <w:lvl w:ilvl="3" w:tplc="2D58FEF2">
      <w:start w:val="1"/>
      <w:numFmt w:val="bullet"/>
      <w:lvlText w:val="•"/>
      <w:lvlJc w:val="left"/>
      <w:pPr>
        <w:ind w:left="753" w:hanging="213"/>
      </w:pPr>
      <w:rPr>
        <w:rFonts w:hAnsi="Arial Unicode MS"/>
        <w:b/>
        <w:bCs/>
        <w:i/>
        <w:iCs/>
        <w:caps w:val="0"/>
        <w:smallCaps w:val="0"/>
        <w:strike w:val="0"/>
        <w:dstrike w:val="0"/>
        <w:outline w:val="0"/>
        <w:emboss w:val="0"/>
        <w:imprint w:val="0"/>
        <w:spacing w:val="0"/>
        <w:w w:val="100"/>
        <w:kern w:val="0"/>
        <w:position w:val="-2"/>
        <w:highlight w:val="none"/>
        <w:vertAlign w:val="baseline"/>
      </w:rPr>
    </w:lvl>
    <w:lvl w:ilvl="4" w:tplc="3B6AD258">
      <w:start w:val="1"/>
      <w:numFmt w:val="bullet"/>
      <w:lvlText w:val="•"/>
      <w:lvlJc w:val="left"/>
      <w:pPr>
        <w:ind w:left="933" w:hanging="213"/>
      </w:pPr>
      <w:rPr>
        <w:rFonts w:hAnsi="Arial Unicode MS"/>
        <w:b/>
        <w:bCs/>
        <w:i/>
        <w:iCs/>
        <w:caps w:val="0"/>
        <w:smallCaps w:val="0"/>
        <w:strike w:val="0"/>
        <w:dstrike w:val="0"/>
        <w:outline w:val="0"/>
        <w:emboss w:val="0"/>
        <w:imprint w:val="0"/>
        <w:spacing w:val="0"/>
        <w:w w:val="100"/>
        <w:kern w:val="0"/>
        <w:position w:val="-2"/>
        <w:highlight w:val="none"/>
        <w:vertAlign w:val="baseline"/>
      </w:rPr>
    </w:lvl>
    <w:lvl w:ilvl="5" w:tplc="F0302192">
      <w:start w:val="1"/>
      <w:numFmt w:val="bullet"/>
      <w:lvlText w:val="•"/>
      <w:lvlJc w:val="left"/>
      <w:pPr>
        <w:ind w:left="1113" w:hanging="213"/>
      </w:pPr>
      <w:rPr>
        <w:rFonts w:hAnsi="Arial Unicode MS"/>
        <w:b/>
        <w:bCs/>
        <w:i/>
        <w:iCs/>
        <w:caps w:val="0"/>
        <w:smallCaps w:val="0"/>
        <w:strike w:val="0"/>
        <w:dstrike w:val="0"/>
        <w:outline w:val="0"/>
        <w:emboss w:val="0"/>
        <w:imprint w:val="0"/>
        <w:spacing w:val="0"/>
        <w:w w:val="100"/>
        <w:kern w:val="0"/>
        <w:position w:val="-2"/>
        <w:highlight w:val="none"/>
        <w:vertAlign w:val="baseline"/>
      </w:rPr>
    </w:lvl>
    <w:lvl w:ilvl="6" w:tplc="32007796">
      <w:start w:val="1"/>
      <w:numFmt w:val="bullet"/>
      <w:lvlText w:val="•"/>
      <w:lvlJc w:val="left"/>
      <w:pPr>
        <w:ind w:left="1293" w:hanging="213"/>
      </w:pPr>
      <w:rPr>
        <w:rFonts w:hAnsi="Arial Unicode MS"/>
        <w:b/>
        <w:bCs/>
        <w:i/>
        <w:iCs/>
        <w:caps w:val="0"/>
        <w:smallCaps w:val="0"/>
        <w:strike w:val="0"/>
        <w:dstrike w:val="0"/>
        <w:outline w:val="0"/>
        <w:emboss w:val="0"/>
        <w:imprint w:val="0"/>
        <w:spacing w:val="0"/>
        <w:w w:val="100"/>
        <w:kern w:val="0"/>
        <w:position w:val="-2"/>
        <w:highlight w:val="none"/>
        <w:vertAlign w:val="baseline"/>
      </w:rPr>
    </w:lvl>
    <w:lvl w:ilvl="7" w:tplc="3E7A405E">
      <w:start w:val="1"/>
      <w:numFmt w:val="bullet"/>
      <w:lvlText w:val="•"/>
      <w:lvlJc w:val="left"/>
      <w:pPr>
        <w:ind w:left="1473" w:hanging="213"/>
      </w:pPr>
      <w:rPr>
        <w:rFonts w:hAnsi="Arial Unicode MS"/>
        <w:b/>
        <w:bCs/>
        <w:i/>
        <w:iCs/>
        <w:caps w:val="0"/>
        <w:smallCaps w:val="0"/>
        <w:strike w:val="0"/>
        <w:dstrike w:val="0"/>
        <w:outline w:val="0"/>
        <w:emboss w:val="0"/>
        <w:imprint w:val="0"/>
        <w:spacing w:val="0"/>
        <w:w w:val="100"/>
        <w:kern w:val="0"/>
        <w:position w:val="-2"/>
        <w:highlight w:val="none"/>
        <w:vertAlign w:val="baseline"/>
      </w:rPr>
    </w:lvl>
    <w:lvl w:ilvl="8" w:tplc="C06A2580">
      <w:start w:val="1"/>
      <w:numFmt w:val="bullet"/>
      <w:lvlText w:val="•"/>
      <w:lvlJc w:val="left"/>
      <w:pPr>
        <w:ind w:left="1653" w:hanging="213"/>
      </w:pPr>
      <w:rPr>
        <w:rFonts w:hAnsi="Arial Unicode MS"/>
        <w:b/>
        <w:bCs/>
        <w:i/>
        <w:iC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19C5592D"/>
    <w:multiLevelType w:val="hybridMultilevel"/>
    <w:tmpl w:val="D59A3722"/>
    <w:numStyleLink w:val="Bullet"/>
  </w:abstractNum>
  <w:abstractNum w:abstractNumId="4" w15:restartNumberingAfterBreak="0">
    <w:nsid w:val="35203EDF"/>
    <w:multiLevelType w:val="hybridMultilevel"/>
    <w:tmpl w:val="850828AA"/>
    <w:lvl w:ilvl="0" w:tplc="0809000B">
      <w:start w:val="1"/>
      <w:numFmt w:val="bullet"/>
      <w:lvlText w:val="•"/>
      <w:lvlJc w:val="left"/>
      <w:pPr>
        <w:ind w:left="213" w:hanging="213"/>
      </w:pPr>
      <w:rPr>
        <w:rFonts w:hAnsi="Arial Unicode MS"/>
        <w:b/>
        <w:bCs/>
        <w:i/>
        <w:iCs/>
        <w:caps w:val="0"/>
        <w:smallCaps w:val="0"/>
        <w:strike w:val="0"/>
        <w:dstrike w:val="0"/>
        <w:outline w:val="0"/>
        <w:emboss w:val="0"/>
        <w:imprint w:val="0"/>
        <w:spacing w:val="0"/>
        <w:w w:val="100"/>
        <w:kern w:val="0"/>
        <w:position w:val="-2"/>
        <w:highlight w:val="none"/>
        <w:vertAlign w:val="baseline"/>
      </w:rPr>
    </w:lvl>
    <w:lvl w:ilvl="1" w:tplc="0809000B">
      <w:start w:val="1"/>
      <w:numFmt w:val="bullet"/>
      <w:lvlText w:val=""/>
      <w:lvlJc w:val="left"/>
      <w:pPr>
        <w:ind w:left="900" w:hanging="360"/>
      </w:pPr>
      <w:rPr>
        <w:rFonts w:ascii="Wingdings" w:hAnsi="Wingdings"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6606537A"/>
    <w:multiLevelType w:val="hybridMultilevel"/>
    <w:tmpl w:val="5F00023A"/>
    <w:styleLink w:val="Numbered"/>
    <w:lvl w:ilvl="0" w:tplc="BE80CB68">
      <w:start w:val="1"/>
      <w:numFmt w:val="decimal"/>
      <w:lvlText w:val="%1."/>
      <w:lvlJc w:val="left"/>
      <w:pPr>
        <w:ind w:left="42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C8281D8E">
      <w:start w:val="1"/>
      <w:numFmt w:val="decimal"/>
      <w:lvlText w:val="%2."/>
      <w:lvlJc w:val="left"/>
      <w:pPr>
        <w:ind w:left="78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0942C0A">
      <w:start w:val="1"/>
      <w:numFmt w:val="decimal"/>
      <w:lvlText w:val="%3."/>
      <w:lvlJc w:val="left"/>
      <w:pPr>
        <w:ind w:left="114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FBF2248C">
      <w:start w:val="1"/>
      <w:numFmt w:val="decimal"/>
      <w:lvlText w:val="%4."/>
      <w:lvlJc w:val="left"/>
      <w:pPr>
        <w:ind w:left="150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69BCEECC">
      <w:start w:val="1"/>
      <w:numFmt w:val="decimal"/>
      <w:lvlText w:val="%5."/>
      <w:lvlJc w:val="left"/>
      <w:pPr>
        <w:ind w:left="186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35697A2">
      <w:start w:val="1"/>
      <w:numFmt w:val="decimal"/>
      <w:lvlText w:val="%6."/>
      <w:lvlJc w:val="left"/>
      <w:pPr>
        <w:ind w:left="222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91AE568">
      <w:start w:val="1"/>
      <w:numFmt w:val="decimal"/>
      <w:lvlText w:val="%7."/>
      <w:lvlJc w:val="left"/>
      <w:pPr>
        <w:ind w:left="258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8764A8A2">
      <w:start w:val="1"/>
      <w:numFmt w:val="decimal"/>
      <w:lvlText w:val="%8."/>
      <w:lvlJc w:val="left"/>
      <w:pPr>
        <w:ind w:left="294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DD9EA060">
      <w:start w:val="1"/>
      <w:numFmt w:val="decimal"/>
      <w:lvlText w:val="%9."/>
      <w:lvlJc w:val="left"/>
      <w:pPr>
        <w:ind w:left="330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C5052B"/>
    <w:multiLevelType w:val="hybridMultilevel"/>
    <w:tmpl w:val="2BB64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38"/>
    <w:rsid w:val="00164587"/>
    <w:rsid w:val="00383526"/>
    <w:rsid w:val="00404DAC"/>
    <w:rsid w:val="00454981"/>
    <w:rsid w:val="004B60B0"/>
    <w:rsid w:val="00501F3A"/>
    <w:rsid w:val="0054592B"/>
    <w:rsid w:val="00615B17"/>
    <w:rsid w:val="006977FA"/>
    <w:rsid w:val="00711BA8"/>
    <w:rsid w:val="009C56C7"/>
    <w:rsid w:val="009D299F"/>
    <w:rsid w:val="00C86B0A"/>
    <w:rsid w:val="00D04738"/>
    <w:rsid w:val="00D06BB7"/>
    <w:rsid w:val="00D93D4F"/>
    <w:rsid w:val="00E32BCA"/>
    <w:rsid w:val="00F1317F"/>
    <w:rsid w:val="00F15E5B"/>
    <w:rsid w:val="00F9137F"/>
    <w:rsid w:val="00FB59C7"/>
    <w:rsid w:val="00FE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B8A8A"/>
  <w15:chartTrackingRefBased/>
  <w15:docId w15:val="{4E08E332-5361-49F2-B66D-D584FC8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99F"/>
    <w:pPr>
      <w:ind w:left="720"/>
      <w:contextualSpacing/>
    </w:pPr>
  </w:style>
  <w:style w:type="table" w:styleId="TableGrid">
    <w:name w:val="Table Grid"/>
    <w:basedOn w:val="TableNormal"/>
    <w:uiPriority w:val="39"/>
    <w:rsid w:val="009D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9D299F"/>
    <w:pPr>
      <w:numPr>
        <w:numId w:val="2"/>
      </w:numPr>
    </w:pPr>
  </w:style>
  <w:style w:type="numbering" w:customStyle="1" w:styleId="Numbered">
    <w:name w:val="Numbered"/>
    <w:rsid w:val="009D299F"/>
    <w:pPr>
      <w:numPr>
        <w:numId w:val="4"/>
      </w:numPr>
    </w:pPr>
  </w:style>
  <w:style w:type="character" w:styleId="CommentReference">
    <w:name w:val="annotation reference"/>
    <w:basedOn w:val="DefaultParagraphFont"/>
    <w:uiPriority w:val="99"/>
    <w:semiHidden/>
    <w:unhideWhenUsed/>
    <w:rsid w:val="00164587"/>
    <w:rPr>
      <w:sz w:val="16"/>
      <w:szCs w:val="16"/>
    </w:rPr>
  </w:style>
  <w:style w:type="paragraph" w:styleId="CommentText">
    <w:name w:val="annotation text"/>
    <w:basedOn w:val="Normal"/>
    <w:link w:val="CommentTextChar"/>
    <w:uiPriority w:val="99"/>
    <w:semiHidden/>
    <w:unhideWhenUsed/>
    <w:rsid w:val="00164587"/>
    <w:pPr>
      <w:spacing w:line="240" w:lineRule="auto"/>
    </w:pPr>
    <w:rPr>
      <w:sz w:val="20"/>
      <w:szCs w:val="20"/>
    </w:rPr>
  </w:style>
  <w:style w:type="character" w:customStyle="1" w:styleId="CommentTextChar">
    <w:name w:val="Comment Text Char"/>
    <w:basedOn w:val="DefaultParagraphFont"/>
    <w:link w:val="CommentText"/>
    <w:uiPriority w:val="99"/>
    <w:semiHidden/>
    <w:rsid w:val="00164587"/>
    <w:rPr>
      <w:sz w:val="20"/>
      <w:szCs w:val="20"/>
    </w:rPr>
  </w:style>
  <w:style w:type="paragraph" w:styleId="CommentSubject">
    <w:name w:val="annotation subject"/>
    <w:basedOn w:val="CommentText"/>
    <w:next w:val="CommentText"/>
    <w:link w:val="CommentSubjectChar"/>
    <w:uiPriority w:val="99"/>
    <w:semiHidden/>
    <w:unhideWhenUsed/>
    <w:rsid w:val="00164587"/>
    <w:rPr>
      <w:b/>
      <w:bCs/>
    </w:rPr>
  </w:style>
  <w:style w:type="character" w:customStyle="1" w:styleId="CommentSubjectChar">
    <w:name w:val="Comment Subject Char"/>
    <w:basedOn w:val="CommentTextChar"/>
    <w:link w:val="CommentSubject"/>
    <w:uiPriority w:val="99"/>
    <w:semiHidden/>
    <w:rsid w:val="00164587"/>
    <w:rPr>
      <w:b/>
      <w:bCs/>
      <w:sz w:val="20"/>
      <w:szCs w:val="20"/>
    </w:rPr>
  </w:style>
  <w:style w:type="paragraph" w:styleId="BalloonText">
    <w:name w:val="Balloon Text"/>
    <w:basedOn w:val="Normal"/>
    <w:link w:val="BalloonTextChar"/>
    <w:uiPriority w:val="99"/>
    <w:semiHidden/>
    <w:unhideWhenUsed/>
    <w:rsid w:val="00164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587"/>
    <w:rPr>
      <w:rFonts w:ascii="Segoe UI" w:hAnsi="Segoe UI" w:cs="Segoe UI"/>
      <w:sz w:val="18"/>
      <w:szCs w:val="18"/>
    </w:rPr>
  </w:style>
  <w:style w:type="paragraph" w:styleId="Header">
    <w:name w:val="header"/>
    <w:basedOn w:val="Normal"/>
    <w:link w:val="HeaderChar"/>
    <w:uiPriority w:val="99"/>
    <w:unhideWhenUsed/>
    <w:rsid w:val="00454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981"/>
  </w:style>
  <w:style w:type="paragraph" w:styleId="Footer">
    <w:name w:val="footer"/>
    <w:basedOn w:val="Normal"/>
    <w:link w:val="FooterChar"/>
    <w:uiPriority w:val="99"/>
    <w:unhideWhenUsed/>
    <w:rsid w:val="00454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205">
      <w:bodyDiv w:val="1"/>
      <w:marLeft w:val="0"/>
      <w:marRight w:val="0"/>
      <w:marTop w:val="0"/>
      <w:marBottom w:val="0"/>
      <w:divBdr>
        <w:top w:val="none" w:sz="0" w:space="0" w:color="auto"/>
        <w:left w:val="none" w:sz="0" w:space="0" w:color="auto"/>
        <w:bottom w:val="none" w:sz="0" w:space="0" w:color="auto"/>
        <w:right w:val="none" w:sz="0" w:space="0" w:color="auto"/>
      </w:divBdr>
    </w:div>
    <w:div w:id="15943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A29566420</value>
    </field>
    <field name="Objective-Title">
      <value order="0">OPHTHOMOLOGY -  Guidance for primary and secondary care - focus on secondary care pathways</value>
    </field>
    <field name="Objective-Description">
      <value order="0"/>
    </field>
    <field name="Objective-CreationStamp">
      <value order="0">2020-04-01T12:02:41Z</value>
    </field>
    <field name="Objective-IsApproved">
      <value order="0">false</value>
    </field>
    <field name="Objective-IsPublished">
      <value order="0">true</value>
    </field>
    <field name="Objective-DatePublished">
      <value order="0">2020-04-01T12:02:57Z</value>
    </field>
    <field name="Objective-ModificationStamp">
      <value order="0">2020-04-01T12:02:57Z</value>
    </field>
    <field name="Objective-Owner">
      <value order="0">Shorrocks, Olivia (HSS - Delivery &amp; Performance)</value>
    </field>
    <field name="Objective-Path">
      <value order="0">Objective Global Folder:Business File Plan:Health &amp; Social Services (HSS):Health &amp; Social Services (HSS) - D&amp;P - Delivery &amp; Performance:1 - Save:Admin &amp; Corporate Commissions:Delivery &amp; Performance:Major Conditions:NHS - All Wales Health Boards/Trusts - Outpatient Transformation - 2016-2021:Covid-19 Proposal</value>
    </field>
    <field name="Objective-Parent">
      <value order="0">Covid-19 Proposal</value>
    </field>
    <field name="Objective-State">
      <value order="0">Published</value>
    </field>
    <field name="Objective-VersionId">
      <value order="0">vA58949847</value>
    </field>
    <field name="Objective-Version">
      <value order="0">1.0</value>
    </field>
    <field name="Objective-VersionNumber">
      <value order="0">2</value>
    </field>
    <field name="Objective-VersionComment">
      <value order="0">Version 2</value>
    </field>
    <field name="Objective-FileNumber">
      <value order="0">qA1265541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2d9498a372068e6d5002f4c2cb8c014c">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f904dbe06da0d992533e1c03150cc0cb"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295D5F5-539B-447A-9594-74A33540CEDD}">
  <ds:schemaRefs>
    <ds:schemaRef ds:uri="http://schemas.microsoft.com/sharepoint/v3/contenttype/forms"/>
  </ds:schemaRefs>
</ds:datastoreItem>
</file>

<file path=customXml/itemProps3.xml><?xml version="1.0" encoding="utf-8"?>
<ds:datastoreItem xmlns:ds="http://schemas.openxmlformats.org/officeDocument/2006/customXml" ds:itemID="{24AB44D3-A4F5-427A-B1CF-6F034F0B8F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C9762C-33AA-4274-A384-A84E60D88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David (HSS - Primary Care &amp; Health Science)</dc:creator>
  <cp:keywords/>
  <dc:description/>
  <cp:lastModifiedBy>Hedditch, Tracey (HSS - Office of the Chief Medical Officer)</cp:lastModifiedBy>
  <cp:revision>2</cp:revision>
  <dcterms:created xsi:type="dcterms:W3CDTF">2020-04-07T13:33:00Z</dcterms:created>
  <dcterms:modified xsi:type="dcterms:W3CDTF">2020-04-07T13:33:00Z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A29566420</vt:lpwstr>
  </property>
  <property fmtid="{D5CDD505-2E9C-101B-9397-08002B2CF9AE}" pid="4" name="Objective-Title">
    <vt:lpwstr>OPHTHOMOLOGY -  Guidance for primary and secondary care - focus on secondary care pathways</vt:lpwstr>
  </property>
  <property fmtid="{D5CDD505-2E9C-101B-9397-08002B2CF9AE}" pid="5" name="Objective-Description">
    <vt:lpwstr/>
  </property>
  <property fmtid="{D5CDD505-2E9C-101B-9397-08002B2CF9AE}" pid="6" name="Objective-CreationStamp">
    <vt:filetime>2020-04-01T12:02:47Z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2020-04-01T12:02:57Z</vt:filetime>
  </property>
  <property fmtid="{D5CDD505-2E9C-101B-9397-08002B2CF9AE}" pid="10" name="Objective-ModificationStamp">
    <vt:filetime>2020-04-01T12:02:57Z</vt:filetime>
  </property>
  <property fmtid="{D5CDD505-2E9C-101B-9397-08002B2CF9AE}" pid="11" name="Objective-Owner">
    <vt:lpwstr>Shorrocks, Olivia (HSS - Delivery &amp; Performance)</vt:lpwstr>
  </property>
  <property fmtid="{D5CDD505-2E9C-101B-9397-08002B2CF9AE}" pid="12" name="Objective-Path">
    <vt:lpwstr>Objective Global Folder:Business File Plan:Health &amp; Social Services (HSS):Health &amp; Social Services (HSS) - D&amp;P - Delivery &amp; Performance:1 - Save:Admin &amp; Corporate Commissions:Delivery &amp; Performance:Major Conditions:NHS - All Wales Health Boards/Trusts - O</vt:lpwstr>
  </property>
  <property fmtid="{D5CDD505-2E9C-101B-9397-08002B2CF9AE}" pid="13" name="Objective-Parent">
    <vt:lpwstr>Covid-19 Proposal</vt:lpwstr>
  </property>
  <property fmtid="{D5CDD505-2E9C-101B-9397-08002B2CF9AE}" pid="14" name="Objective-State">
    <vt:lpwstr>Published</vt:lpwstr>
  </property>
  <property fmtid="{D5CDD505-2E9C-101B-9397-08002B2CF9AE}" pid="15" name="Objective-VersionId">
    <vt:lpwstr>vA58949847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